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7F9378" w14:textId="0911E4B2" w:rsidR="00DB2488" w:rsidRPr="00594A76" w:rsidRDefault="00DB2488" w:rsidP="00594A76">
      <w:pPr>
        <w:jc w:val="center"/>
        <w:rPr>
          <w:b/>
          <w:sz w:val="24"/>
        </w:rPr>
      </w:pPr>
      <w:r w:rsidRPr="00594A76">
        <w:rPr>
          <w:b/>
          <w:sz w:val="24"/>
        </w:rPr>
        <w:t xml:space="preserve">Anexa </w:t>
      </w:r>
      <w:r w:rsidR="007E5FF5">
        <w:rPr>
          <w:b/>
          <w:sz w:val="24"/>
        </w:rPr>
        <w:t xml:space="preserve">4.a - </w:t>
      </w:r>
      <w:bookmarkStart w:id="0" w:name="_GoBack"/>
      <w:r w:rsidR="007E5FF5">
        <w:rPr>
          <w:b/>
          <w:sz w:val="24"/>
        </w:rPr>
        <w:t>Anexa II</w:t>
      </w:r>
      <w:r w:rsidRPr="00594A76">
        <w:rPr>
          <w:b/>
          <w:sz w:val="24"/>
        </w:rPr>
        <w:t xml:space="preserve"> </w:t>
      </w:r>
      <w:bookmarkStart w:id="1" w:name="_Hlk169770073"/>
      <w:r w:rsidR="00C92C32" w:rsidRPr="00594A76">
        <w:rPr>
          <w:b/>
          <w:sz w:val="24"/>
        </w:rPr>
        <w:t>- Mecanismul de finanțare</w:t>
      </w:r>
      <w:bookmarkEnd w:id="1"/>
      <w:bookmarkEnd w:id="0"/>
    </w:p>
    <w:p w14:paraId="496D1B05" w14:textId="1E276DFA" w:rsidR="00DB2488" w:rsidRPr="00594A76" w:rsidRDefault="00DB2488" w:rsidP="00594A76">
      <w:pPr>
        <w:jc w:val="center"/>
        <w:rPr>
          <w:b/>
          <w:sz w:val="24"/>
        </w:rPr>
      </w:pPr>
      <w:r w:rsidRPr="00594A76">
        <w:rPr>
          <w:b/>
          <w:sz w:val="24"/>
        </w:rPr>
        <w:t>Investiţia: 7 - Schema de granturi sub formă de bonuri valorice pentru îmbunătățirea eficienței energetice a gospodăriilor</w:t>
      </w:r>
    </w:p>
    <w:p w14:paraId="3497C2E6" w14:textId="69B2D1E8" w:rsidR="00DB2488" w:rsidRPr="00594A76" w:rsidRDefault="00DB2488" w:rsidP="00594A76">
      <w:pPr>
        <w:jc w:val="center"/>
        <w:rPr>
          <w:b/>
          <w:sz w:val="24"/>
        </w:rPr>
      </w:pPr>
      <w:r w:rsidRPr="00594A76">
        <w:rPr>
          <w:b/>
          <w:sz w:val="24"/>
        </w:rPr>
        <w:t>Axa I - Renovare ce vizează eficiența energetică combinată cu instalarea de panouri solare pe clădirile rezidențiale unifamiliale, numai pentru gospodăriile sărace din punct de vedere energetic și pentru consumatorii de energie vulnerabili</w:t>
      </w:r>
    </w:p>
    <w:p w14:paraId="7BAFE04D" w14:textId="77777777" w:rsidR="00DB2488" w:rsidRPr="00DB2488" w:rsidRDefault="00DB2488" w:rsidP="00DB2488"/>
    <w:p w14:paraId="14D9476F" w14:textId="66147D5A" w:rsidR="002A33A7" w:rsidRDefault="00B05874" w:rsidP="009263E7">
      <w:pPr>
        <w:pStyle w:val="Heading2"/>
        <w:numPr>
          <w:ilvl w:val="0"/>
          <w:numId w:val="7"/>
        </w:numPr>
      </w:pPr>
      <w:r>
        <w:t>CONDIȚII GENERALE</w:t>
      </w:r>
    </w:p>
    <w:p w14:paraId="077DC0E1" w14:textId="5D5F4608" w:rsidR="00B05874" w:rsidRDefault="00AA498B" w:rsidP="00B05874">
      <w:r w:rsidRPr="00AA498B">
        <w:t xml:space="preserve">Beneficiarul are obligația de a înainta către MIPE, </w:t>
      </w:r>
      <w:r w:rsidR="00B05874" w:rsidRPr="00AA498B">
        <w:t>cererile de transfer</w:t>
      </w:r>
      <w:r w:rsidR="009263E7">
        <w:t xml:space="preserve"> prevăzute la art. 5 din Contractul de finanțare</w:t>
      </w:r>
      <w:r w:rsidR="00B05874" w:rsidRPr="00AA498B">
        <w:t xml:space="preserve"> </w:t>
      </w:r>
      <w:r w:rsidR="00B05874">
        <w:t xml:space="preserve">însoțite de documentele justificative, </w:t>
      </w:r>
      <w:r w:rsidR="00B05874" w:rsidRPr="00AA498B">
        <w:t xml:space="preserve">prin </w:t>
      </w:r>
      <w:r w:rsidR="00B05874">
        <w:t xml:space="preserve">mijloacele electronice de comunicare prevăzute în contractul de finanțare sau exclusiv prin intermediul aplicației informatice, după operaționalizarea acesteia, în conformitate cu Instrucțiunile emise </w:t>
      </w:r>
      <w:r w:rsidR="00537A1A">
        <w:t xml:space="preserve">de MIPE </w:t>
      </w:r>
      <w:r w:rsidR="00B05874">
        <w:t>în acest sens.</w:t>
      </w:r>
    </w:p>
    <w:p w14:paraId="7C7BBC2C" w14:textId="33072FFC" w:rsidR="00B05874" w:rsidRDefault="00B05874" w:rsidP="00B05874">
      <w:r>
        <w:t xml:space="preserve">Formularele tipizate vor fi </w:t>
      </w:r>
      <w:r w:rsidRPr="00AA498B">
        <w:t>completate</w:t>
      </w:r>
      <w:r w:rsidR="00537A1A">
        <w:t xml:space="preserve"> conform instrucțiunilor de completare </w:t>
      </w:r>
      <w:r w:rsidRPr="00AA498B">
        <w:t>și asumate prin semnătură electronică extinsă</w:t>
      </w:r>
      <w:r>
        <w:t xml:space="preserve"> și vor fi transmise în format pdf. electronic, fără a fi printate, scanate și apoi semnate.</w:t>
      </w:r>
    </w:p>
    <w:p w14:paraId="14FDCA12" w14:textId="46294E36" w:rsidR="00B05874" w:rsidRDefault="00B05874" w:rsidP="00B05874">
      <w:r>
        <w:t>Documentele justificative anexate cererilor de transfer, altele decât cele tipizate puse la dispoziție de către MIPE, vor fi</w:t>
      </w:r>
      <w:r w:rsidR="00537A1A">
        <w:t xml:space="preserve"> transmite în format pdf.,</w:t>
      </w:r>
      <w:r>
        <w:t xml:space="preserve"> scanate lizibil și </w:t>
      </w:r>
      <w:r w:rsidR="00537A1A" w:rsidRPr="00AA498B">
        <w:t>și asumate prin semnătură electronică extinsă</w:t>
      </w:r>
      <w:r w:rsidR="00537A1A">
        <w:t>, înainte de transmitere.</w:t>
      </w:r>
    </w:p>
    <w:p w14:paraId="1118F96B" w14:textId="50D59FD8" w:rsidR="00537A1A" w:rsidRPr="00DB2488" w:rsidRDefault="00537A1A" w:rsidP="00B05874">
      <w:r>
        <w:t>Asumarea prin semnătură electronică se poate realiza de către reprezentantul legal al beneficiarului/liderului din Contractul de finanțare sau o persoană împuternicită, caz în care se va prezenta și documentul de împuternicire.</w:t>
      </w:r>
    </w:p>
    <w:p w14:paraId="3C0E3B77" w14:textId="77777777" w:rsidR="00B05874" w:rsidRDefault="00B05874" w:rsidP="00B05874">
      <w:r w:rsidRPr="00DB2488">
        <w:t xml:space="preserve">Toate documentele prezentate în perioada de implementare, inclusiv cele anexate cererii de transfer trebuie să fie în conformitate cu prevederile legislaţiei incidente şi cu respectarea obligaţiilor prevăzute în PNRR.  </w:t>
      </w:r>
    </w:p>
    <w:p w14:paraId="68572DFE" w14:textId="77777777" w:rsidR="00DB2488" w:rsidRPr="006A2451" w:rsidRDefault="00DB2488" w:rsidP="00DB2488">
      <w:bookmarkStart w:id="2" w:name="_Hlk169714634"/>
      <w:r w:rsidRPr="006A2451">
        <w:t xml:space="preserve">Beneficiarii finanțării au obligația să țină pentru fiecare proiect o evidență contabilă distinctă, folosind conturi analitice distincte. </w:t>
      </w:r>
    </w:p>
    <w:p w14:paraId="320F5E95" w14:textId="2D0993E6" w:rsidR="00DC484B" w:rsidRDefault="00DB2488" w:rsidP="00DB2488">
      <w:r w:rsidRPr="006A2451">
        <w:t>Fiecare cerere de transfer transmisă de beneficiar trebuie să reflecte separat, pentru fiecare an calendaristic, activitățile realizate în cadrul proiectului.</w:t>
      </w:r>
      <w:r w:rsidRPr="00DB2488">
        <w:t xml:space="preserve"> </w:t>
      </w:r>
    </w:p>
    <w:p w14:paraId="1C18CF78" w14:textId="15295148" w:rsidR="00DC484B" w:rsidRDefault="00DC484B" w:rsidP="00DB2488">
      <w:r>
        <w:t>Denumirile documentelor pdf. se vor completa de beneficiar într-o manieră care să permită o identificare facilă și rapidă a acestora</w:t>
      </w:r>
      <w:r w:rsidR="002A247E">
        <w:t>. Nerespectarea cerinței poate conduce la returnarea întregii documentații beneficiarului în vederea remedierii și redepunerii ulterior.</w:t>
      </w:r>
    </w:p>
    <w:p w14:paraId="7DE62A18" w14:textId="2F7CA300" w:rsidR="002A247E" w:rsidRDefault="002A247E" w:rsidP="00DB2488">
      <w:r>
        <w:t>Exemple pentru structura denumirii documentelor:</w:t>
      </w:r>
    </w:p>
    <w:p w14:paraId="79A4031D" w14:textId="4929DEC7" w:rsidR="00FB182A" w:rsidRDefault="00FB182A" w:rsidP="00DB2488">
      <w:r>
        <w:t xml:space="preserve">Documente </w:t>
      </w:r>
      <w:r w:rsidR="00DA3A40">
        <w:t>aferente Cererii</w:t>
      </w:r>
      <w:r>
        <w:t>:</w:t>
      </w: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485"/>
        <w:gridCol w:w="2044"/>
        <w:gridCol w:w="1583"/>
        <w:gridCol w:w="1743"/>
        <w:gridCol w:w="1747"/>
      </w:tblGrid>
      <w:tr w:rsidR="00FF799C" w14:paraId="40B29055" w14:textId="77777777" w:rsidTr="00DA3A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8" w:type="pct"/>
            <w:tcBorders>
              <w:top w:val="none" w:sz="0" w:space="0" w:color="auto"/>
              <w:bottom w:val="none" w:sz="0" w:space="0" w:color="auto"/>
              <w:right w:val="none" w:sz="0" w:space="0" w:color="auto"/>
            </w:tcBorders>
          </w:tcPr>
          <w:p w14:paraId="065FB340" w14:textId="5CCD70F8" w:rsidR="00FF799C" w:rsidRDefault="00FF799C" w:rsidP="00DB2488">
            <w:r>
              <w:t>identificarea Cererii de transfer</w:t>
            </w:r>
          </w:p>
        </w:tc>
        <w:tc>
          <w:tcPr>
            <w:tcW w:w="266" w:type="pct"/>
            <w:tcBorders>
              <w:top w:val="none" w:sz="0" w:space="0" w:color="auto"/>
              <w:left w:val="none" w:sz="0" w:space="0" w:color="auto"/>
              <w:bottom w:val="none" w:sz="0" w:space="0" w:color="auto"/>
              <w:right w:val="none" w:sz="0" w:space="0" w:color="auto"/>
            </w:tcBorders>
          </w:tcPr>
          <w:p w14:paraId="33ECA166" w14:textId="51F0A54B" w:rsidR="00FF799C" w:rsidRDefault="00FF799C" w:rsidP="00DB2488">
            <w:pPr>
              <w:cnfStyle w:val="100000000000" w:firstRow="1" w:lastRow="0" w:firstColumn="0" w:lastColumn="0" w:oddVBand="0" w:evenVBand="0" w:oddHBand="0" w:evenHBand="0" w:firstRowFirstColumn="0" w:firstRowLastColumn="0" w:lastRowFirstColumn="0" w:lastRowLastColumn="0"/>
              <w:rPr>
                <w:lang w:val="en-US"/>
              </w:rPr>
            </w:pPr>
            <w:r>
              <w:rPr>
                <w:lang w:val="en-US"/>
              </w:rPr>
              <w:t>Nr. CT</w:t>
            </w:r>
          </w:p>
        </w:tc>
        <w:tc>
          <w:tcPr>
            <w:tcW w:w="1141" w:type="pct"/>
            <w:tcBorders>
              <w:top w:val="none" w:sz="0" w:space="0" w:color="auto"/>
              <w:left w:val="none" w:sz="0" w:space="0" w:color="auto"/>
              <w:bottom w:val="none" w:sz="0" w:space="0" w:color="auto"/>
              <w:right w:val="none" w:sz="0" w:space="0" w:color="auto"/>
            </w:tcBorders>
          </w:tcPr>
          <w:p w14:paraId="206C4D75" w14:textId="1801FCEC" w:rsidR="00FF799C" w:rsidRDefault="00FF799C" w:rsidP="00DB2488">
            <w:pPr>
              <w:cnfStyle w:val="100000000000" w:firstRow="1" w:lastRow="0" w:firstColumn="0" w:lastColumn="0" w:oddVBand="0" w:evenVBand="0" w:oddHBand="0" w:evenHBand="0" w:firstRowFirstColumn="0" w:firstRowLastColumn="0" w:lastRowFirstColumn="0" w:lastRowLastColumn="0"/>
            </w:pPr>
            <w:proofErr w:type="spellStart"/>
            <w:r>
              <w:rPr>
                <w:lang w:val="en-US"/>
              </w:rPr>
              <w:t>Tipul</w:t>
            </w:r>
            <w:proofErr w:type="spellEnd"/>
            <w:r>
              <w:rPr>
                <w:lang w:val="en-US"/>
              </w:rPr>
              <w:t xml:space="preserve"> </w:t>
            </w:r>
            <w:proofErr w:type="spellStart"/>
            <w:r>
              <w:rPr>
                <w:lang w:val="en-US"/>
              </w:rPr>
              <w:t>documentului</w:t>
            </w:r>
            <w:proofErr w:type="spellEnd"/>
          </w:p>
        </w:tc>
        <w:tc>
          <w:tcPr>
            <w:tcW w:w="885" w:type="pct"/>
            <w:tcBorders>
              <w:top w:val="none" w:sz="0" w:space="0" w:color="auto"/>
              <w:left w:val="none" w:sz="0" w:space="0" w:color="auto"/>
              <w:bottom w:val="none" w:sz="0" w:space="0" w:color="auto"/>
              <w:right w:val="none" w:sz="0" w:space="0" w:color="auto"/>
            </w:tcBorders>
          </w:tcPr>
          <w:p w14:paraId="56C64BDF" w14:textId="2F295D1B" w:rsidR="00FF799C" w:rsidRDefault="00FF799C" w:rsidP="00DB2488">
            <w:pPr>
              <w:cnfStyle w:val="100000000000" w:firstRow="1" w:lastRow="0" w:firstColumn="0" w:lastColumn="0" w:oddVBand="0" w:evenVBand="0" w:oddHBand="0" w:evenHBand="0" w:firstRowFirstColumn="0" w:firstRowLastColumn="0" w:lastRowFirstColumn="0" w:lastRowLastColumn="0"/>
            </w:pPr>
            <w:r>
              <w:t>Nr. documentului</w:t>
            </w:r>
          </w:p>
        </w:tc>
        <w:tc>
          <w:tcPr>
            <w:tcW w:w="974" w:type="pct"/>
            <w:tcBorders>
              <w:top w:val="none" w:sz="0" w:space="0" w:color="auto"/>
              <w:left w:val="none" w:sz="0" w:space="0" w:color="auto"/>
              <w:bottom w:val="none" w:sz="0" w:space="0" w:color="auto"/>
              <w:right w:val="none" w:sz="0" w:space="0" w:color="auto"/>
            </w:tcBorders>
          </w:tcPr>
          <w:p w14:paraId="4A6C7D40" w14:textId="3C4B4D0D" w:rsidR="00FF799C" w:rsidRDefault="00FF799C" w:rsidP="00DB2488">
            <w:pPr>
              <w:cnfStyle w:val="100000000000" w:firstRow="1" w:lastRow="0" w:firstColumn="0" w:lastColumn="0" w:oddVBand="0" w:evenVBand="0" w:oddHBand="0" w:evenHBand="0" w:firstRowFirstColumn="0" w:firstRowLastColumn="0" w:lastRowFirstColumn="0" w:lastRowLastColumn="0"/>
            </w:pPr>
            <w:r>
              <w:t>Denumire document anexă, dacă este cazul</w:t>
            </w:r>
          </w:p>
        </w:tc>
        <w:tc>
          <w:tcPr>
            <w:tcW w:w="975" w:type="pct"/>
            <w:tcBorders>
              <w:top w:val="none" w:sz="0" w:space="0" w:color="auto"/>
              <w:left w:val="none" w:sz="0" w:space="0" w:color="auto"/>
              <w:bottom w:val="none" w:sz="0" w:space="0" w:color="auto"/>
            </w:tcBorders>
          </w:tcPr>
          <w:p w14:paraId="3D1A9AD4" w14:textId="5A1A9FAC" w:rsidR="00FF799C" w:rsidRDefault="00FF799C" w:rsidP="00DB2488">
            <w:pPr>
              <w:cnfStyle w:val="100000000000" w:firstRow="1" w:lastRow="0" w:firstColumn="0" w:lastColumn="0" w:oddVBand="0" w:evenVBand="0" w:oddHBand="0" w:evenHBand="0" w:firstRowFirstColumn="0" w:firstRowLastColumn="0" w:lastRowFirstColumn="0" w:lastRowLastColumn="0"/>
            </w:pPr>
            <w:r>
              <w:t>Revizia dacă este cazul în urma clarificărilor</w:t>
            </w:r>
          </w:p>
        </w:tc>
      </w:tr>
      <w:tr w:rsidR="00FF799C" w14:paraId="56E03110" w14:textId="77777777" w:rsidTr="00DA3A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8" w:type="pct"/>
          </w:tcPr>
          <w:p w14:paraId="1D57D423" w14:textId="0C8EBB4E" w:rsidR="00FF799C" w:rsidRDefault="00FF799C" w:rsidP="00DB2488">
            <w:r>
              <w:t>CT</w:t>
            </w:r>
          </w:p>
        </w:tc>
        <w:tc>
          <w:tcPr>
            <w:tcW w:w="266" w:type="pct"/>
          </w:tcPr>
          <w:p w14:paraId="35E1BF79" w14:textId="019EFCD8" w:rsidR="00FF799C" w:rsidRDefault="00FF799C" w:rsidP="00DB2488">
            <w:pPr>
              <w:cnfStyle w:val="000000100000" w:firstRow="0" w:lastRow="0" w:firstColumn="0" w:lastColumn="0" w:oddVBand="0" w:evenVBand="0" w:oddHBand="1" w:evenHBand="0" w:firstRowFirstColumn="0" w:firstRowLastColumn="0" w:lastRowFirstColumn="0" w:lastRowLastColumn="0"/>
            </w:pPr>
            <w:r>
              <w:t>1-n</w:t>
            </w:r>
          </w:p>
        </w:tc>
        <w:tc>
          <w:tcPr>
            <w:tcW w:w="1141" w:type="pct"/>
          </w:tcPr>
          <w:p w14:paraId="4D721297" w14:textId="753891A4" w:rsidR="00FF799C" w:rsidRDefault="00FF799C" w:rsidP="00DB2488">
            <w:pPr>
              <w:cnfStyle w:val="000000100000" w:firstRow="0" w:lastRow="0" w:firstColumn="0" w:lastColumn="0" w:oddVBand="0" w:evenVBand="0" w:oddHBand="1" w:evenHBand="0" w:firstRowFirstColumn="0" w:firstRowLastColumn="0" w:lastRowFirstColumn="0" w:lastRowLastColumn="0"/>
            </w:pPr>
            <w:r>
              <w:t xml:space="preserve">RP=Raport progres GE=Grafic estimativ al termenelor de </w:t>
            </w:r>
            <w:r>
              <w:lastRenderedPageBreak/>
              <w:t>depunere a cererilor de transfer</w:t>
            </w:r>
          </w:p>
        </w:tc>
        <w:tc>
          <w:tcPr>
            <w:tcW w:w="885" w:type="pct"/>
          </w:tcPr>
          <w:p w14:paraId="54D3977D" w14:textId="56635D65" w:rsidR="00FF799C" w:rsidRDefault="00FF799C" w:rsidP="00DB2488">
            <w:pPr>
              <w:cnfStyle w:val="000000100000" w:firstRow="0" w:lastRow="0" w:firstColumn="0" w:lastColumn="0" w:oddVBand="0" w:evenVBand="0" w:oddHBand="1" w:evenHBand="0" w:firstRowFirstColumn="0" w:firstRowLastColumn="0" w:lastRowFirstColumn="0" w:lastRowLastColumn="0"/>
            </w:pPr>
            <w:r>
              <w:lastRenderedPageBreak/>
              <w:t>1-n</w:t>
            </w:r>
          </w:p>
        </w:tc>
        <w:tc>
          <w:tcPr>
            <w:tcW w:w="974" w:type="pct"/>
          </w:tcPr>
          <w:p w14:paraId="3082C8A9" w14:textId="77777777" w:rsidR="00FF799C" w:rsidRDefault="00FF799C" w:rsidP="00DB2488">
            <w:pPr>
              <w:cnfStyle w:val="000000100000" w:firstRow="0" w:lastRow="0" w:firstColumn="0" w:lastColumn="0" w:oddVBand="0" w:evenVBand="0" w:oddHBand="1" w:evenHBand="0" w:firstRowFirstColumn="0" w:firstRowLastColumn="0" w:lastRowFirstColumn="0" w:lastRowLastColumn="0"/>
            </w:pPr>
            <w:r>
              <w:t>DNSH=Do No Significant Harm</w:t>
            </w:r>
          </w:p>
          <w:p w14:paraId="0F5AEE37" w14:textId="6B0F1508" w:rsidR="00DA3A40" w:rsidRDefault="00DA3A40" w:rsidP="00DB2488">
            <w:pPr>
              <w:cnfStyle w:val="000000100000" w:firstRow="0" w:lastRow="0" w:firstColumn="0" w:lastColumn="0" w:oddVBand="0" w:evenVBand="0" w:oddHBand="1" w:evenHBand="0" w:firstRowFirstColumn="0" w:firstRowLastColumn="0" w:lastRowFirstColumn="0" w:lastRowLastColumn="0"/>
            </w:pPr>
            <w:r>
              <w:t xml:space="preserve">MIV=Manual de identitate </w:t>
            </w:r>
            <w:r>
              <w:lastRenderedPageBreak/>
              <w:t>vizuală pentru PNRR</w:t>
            </w:r>
          </w:p>
        </w:tc>
        <w:tc>
          <w:tcPr>
            <w:tcW w:w="975" w:type="pct"/>
          </w:tcPr>
          <w:p w14:paraId="11F3F9E7" w14:textId="3F0DCC14" w:rsidR="00FF799C" w:rsidRDefault="00FF799C" w:rsidP="00DB2488">
            <w:pPr>
              <w:cnfStyle w:val="000000100000" w:firstRow="0" w:lastRow="0" w:firstColumn="0" w:lastColumn="0" w:oddVBand="0" w:evenVBand="0" w:oddHBand="1" w:evenHBand="0" w:firstRowFirstColumn="0" w:firstRowLastColumn="0" w:lastRowFirstColumn="0" w:lastRowLastColumn="0"/>
            </w:pPr>
            <w:r>
              <w:lastRenderedPageBreak/>
              <w:t>Rev1 – revizia 1</w:t>
            </w:r>
          </w:p>
          <w:p w14:paraId="4D8733EF" w14:textId="57C6BD40" w:rsidR="00FF799C" w:rsidRDefault="00FF799C" w:rsidP="00DB2488">
            <w:pPr>
              <w:cnfStyle w:val="000000100000" w:firstRow="0" w:lastRow="0" w:firstColumn="0" w:lastColumn="0" w:oddVBand="0" w:evenVBand="0" w:oddHBand="1" w:evenHBand="0" w:firstRowFirstColumn="0" w:firstRowLastColumn="0" w:lastRowFirstColumn="0" w:lastRowLastColumn="0"/>
            </w:pPr>
            <w:r>
              <w:t>Rev2 – revizia 2</w:t>
            </w:r>
          </w:p>
        </w:tc>
      </w:tr>
      <w:tr w:rsidR="00FF799C" w14:paraId="259BEF80" w14:textId="77777777" w:rsidTr="00DA3A40">
        <w:tc>
          <w:tcPr>
            <w:cnfStyle w:val="001000000000" w:firstRow="0" w:lastRow="0" w:firstColumn="1" w:lastColumn="0" w:oddVBand="0" w:evenVBand="0" w:oddHBand="0" w:evenHBand="0" w:firstRowFirstColumn="0" w:firstRowLastColumn="0" w:lastRowFirstColumn="0" w:lastRowLastColumn="0"/>
            <w:tcW w:w="5000" w:type="pct"/>
            <w:gridSpan w:val="6"/>
          </w:tcPr>
          <w:p w14:paraId="1D471805" w14:textId="34A89B3E" w:rsidR="00FF799C" w:rsidRPr="00087D9B" w:rsidRDefault="00FF799C" w:rsidP="00660101">
            <w:pPr>
              <w:jc w:val="center"/>
              <w:rPr>
                <w:b w:val="0"/>
                <w:bCs w:val="0"/>
                <w:i/>
                <w:iCs/>
              </w:rPr>
            </w:pPr>
            <w:r w:rsidRPr="00087D9B">
              <w:rPr>
                <w:b w:val="0"/>
                <w:bCs w:val="0"/>
                <w:i/>
                <w:iCs/>
              </w:rPr>
              <w:t>Exempl</w:t>
            </w:r>
            <w:r w:rsidR="00DA3A40" w:rsidRPr="00087D9B">
              <w:rPr>
                <w:b w:val="0"/>
                <w:bCs w:val="0"/>
                <w:i/>
                <w:iCs/>
              </w:rPr>
              <w:t>e</w:t>
            </w:r>
            <w:r w:rsidRPr="00087D9B">
              <w:rPr>
                <w:b w:val="0"/>
                <w:bCs w:val="0"/>
                <w:i/>
                <w:iCs/>
              </w:rPr>
              <w:t>: CT2_RP2_Rev1.pdf = Raportul de progres nr. 2 aferent Cererii de transfer nr. 2, revizuit în urma solicitării de clarificări 1.</w:t>
            </w:r>
          </w:p>
          <w:p w14:paraId="0666288C" w14:textId="307B0A54" w:rsidR="00FF799C" w:rsidRPr="00087D9B" w:rsidRDefault="00FF799C" w:rsidP="00660101">
            <w:pPr>
              <w:jc w:val="center"/>
              <w:rPr>
                <w:b w:val="0"/>
                <w:bCs w:val="0"/>
                <w:i/>
                <w:iCs/>
              </w:rPr>
            </w:pPr>
            <w:r w:rsidRPr="00087D9B">
              <w:rPr>
                <w:b w:val="0"/>
                <w:bCs w:val="0"/>
                <w:i/>
                <w:iCs/>
              </w:rPr>
              <w:t xml:space="preserve">CT2_RP2_DNSH1.pdf = Anexă la Raportul de progres nr. 2 aferent Cererii de transfer nr. 2, </w:t>
            </w:r>
            <w:r w:rsidR="00DA3A40" w:rsidRPr="00087D9B">
              <w:rPr>
                <w:b w:val="0"/>
                <w:bCs w:val="0"/>
                <w:i/>
                <w:iCs/>
              </w:rPr>
              <w:t xml:space="preserve">primul </w:t>
            </w:r>
            <w:r w:rsidRPr="00087D9B">
              <w:rPr>
                <w:b w:val="0"/>
                <w:bCs w:val="0"/>
                <w:i/>
                <w:iCs/>
              </w:rPr>
              <w:t>document justificativ pentru respectarea principiilor DNSH.</w:t>
            </w:r>
          </w:p>
          <w:p w14:paraId="5C09CD44" w14:textId="7CD216FF" w:rsidR="00DA3A40" w:rsidRPr="00087D9B" w:rsidRDefault="00DA3A40" w:rsidP="00DA3A40">
            <w:pPr>
              <w:jc w:val="center"/>
              <w:rPr>
                <w:b w:val="0"/>
                <w:bCs w:val="0"/>
                <w:i/>
                <w:iCs/>
              </w:rPr>
            </w:pPr>
            <w:r w:rsidRPr="00087D9B">
              <w:rPr>
                <w:b w:val="0"/>
                <w:bCs w:val="0"/>
                <w:i/>
                <w:iCs/>
              </w:rPr>
              <w:t>CT2_RP2_MIV_comunicat1.pdf = Anexă la Raportul de progres nr. 2 aferent Cererii de transfer nr. 2, comunicat de presă privind începerea proiectului conform Manualului de Identitate Vizuală (MIV) pentru PNRR.</w:t>
            </w:r>
          </w:p>
          <w:p w14:paraId="33C9B3F7" w14:textId="42FBC0EF" w:rsidR="00DA3A40" w:rsidRPr="00087D9B" w:rsidRDefault="00DA3A40" w:rsidP="00DA3A40">
            <w:pPr>
              <w:jc w:val="center"/>
              <w:rPr>
                <w:b w:val="0"/>
                <w:bCs w:val="0"/>
                <w:i/>
                <w:iCs/>
              </w:rPr>
            </w:pPr>
            <w:r w:rsidRPr="00087D9B">
              <w:rPr>
                <w:b w:val="0"/>
                <w:bCs w:val="0"/>
                <w:i/>
                <w:iCs/>
              </w:rPr>
              <w:t>CT2_RP2_MIV_afiș1.pdf = Anexă la Raportul de progres nr. 2 aferent Cererii de transfer nr. 2, afiș elaborat și postat la sediul beneficiarului privind proiectul conform Manualului de Identitate Vizuală (MIV) pentru PNRR.</w:t>
            </w:r>
          </w:p>
          <w:p w14:paraId="1E1EFB50" w14:textId="41AF0436" w:rsidR="00FF799C" w:rsidRPr="00087D9B" w:rsidRDefault="00FF799C" w:rsidP="00DB2488">
            <w:pPr>
              <w:rPr>
                <w:b w:val="0"/>
                <w:bCs w:val="0"/>
                <w:i/>
                <w:iCs/>
              </w:rPr>
            </w:pPr>
          </w:p>
        </w:tc>
      </w:tr>
    </w:tbl>
    <w:p w14:paraId="336BE688" w14:textId="62778103" w:rsidR="00FB182A" w:rsidRDefault="00FB182A" w:rsidP="00FB182A">
      <w:r>
        <w:t xml:space="preserve">Documente </w:t>
      </w:r>
      <w:r w:rsidR="00390139">
        <w:t>aferente voucherelor</w:t>
      </w:r>
      <w:r w:rsidR="00DA3A40">
        <w:t xml:space="preserve"> solicitate în cerere</w:t>
      </w:r>
      <w:r>
        <w:t>:</w:t>
      </w:r>
    </w:p>
    <w:tbl>
      <w:tblPr>
        <w:tblStyle w:val="GridTable2-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580"/>
        <w:gridCol w:w="1257"/>
        <w:gridCol w:w="1727"/>
        <w:gridCol w:w="1409"/>
        <w:gridCol w:w="2629"/>
      </w:tblGrid>
      <w:tr w:rsidR="00711C7B" w14:paraId="3F4199CC" w14:textId="77777777" w:rsidTr="00DA3A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9" w:type="dxa"/>
            <w:tcBorders>
              <w:top w:val="none" w:sz="0" w:space="0" w:color="auto"/>
              <w:bottom w:val="none" w:sz="0" w:space="0" w:color="auto"/>
              <w:right w:val="none" w:sz="0" w:space="0" w:color="auto"/>
            </w:tcBorders>
          </w:tcPr>
          <w:p w14:paraId="4D77BD7B" w14:textId="77777777" w:rsidR="00711C7B" w:rsidRDefault="00711C7B" w:rsidP="00660101">
            <w:r>
              <w:t>identificarea Cererii de transfer</w:t>
            </w:r>
          </w:p>
        </w:tc>
        <w:tc>
          <w:tcPr>
            <w:tcW w:w="582" w:type="dxa"/>
            <w:tcBorders>
              <w:top w:val="none" w:sz="0" w:space="0" w:color="auto"/>
              <w:left w:val="none" w:sz="0" w:space="0" w:color="auto"/>
              <w:bottom w:val="none" w:sz="0" w:space="0" w:color="auto"/>
              <w:right w:val="none" w:sz="0" w:space="0" w:color="auto"/>
            </w:tcBorders>
          </w:tcPr>
          <w:p w14:paraId="6EB9ADB1" w14:textId="209E09AF" w:rsidR="00711C7B" w:rsidRDefault="00711C7B" w:rsidP="00660101">
            <w:pPr>
              <w:cnfStyle w:val="100000000000" w:firstRow="1" w:lastRow="0" w:firstColumn="0" w:lastColumn="0" w:oddVBand="0" w:evenVBand="0" w:oddHBand="0" w:evenHBand="0" w:firstRowFirstColumn="0" w:firstRowLastColumn="0" w:lastRowFirstColumn="0" w:lastRowLastColumn="0"/>
            </w:pPr>
            <w:r>
              <w:rPr>
                <w:lang w:val="en-US"/>
              </w:rPr>
              <w:t>Nr. CT</w:t>
            </w:r>
          </w:p>
        </w:tc>
        <w:tc>
          <w:tcPr>
            <w:tcW w:w="1261" w:type="dxa"/>
            <w:tcBorders>
              <w:top w:val="none" w:sz="0" w:space="0" w:color="auto"/>
              <w:left w:val="none" w:sz="0" w:space="0" w:color="auto"/>
              <w:bottom w:val="none" w:sz="0" w:space="0" w:color="auto"/>
              <w:right w:val="none" w:sz="0" w:space="0" w:color="auto"/>
            </w:tcBorders>
          </w:tcPr>
          <w:p w14:paraId="05ACFBDE" w14:textId="13A2FC67" w:rsidR="00711C7B" w:rsidRDefault="00711C7B" w:rsidP="00660101">
            <w:pPr>
              <w:cnfStyle w:val="100000000000" w:firstRow="1" w:lastRow="0" w:firstColumn="0" w:lastColumn="0" w:oddVBand="0" w:evenVBand="0" w:oddHBand="0" w:evenHBand="0" w:firstRowFirstColumn="0" w:firstRowLastColumn="0" w:lastRowFirstColumn="0" w:lastRowLastColumn="0"/>
            </w:pPr>
            <w:r>
              <w:t>COD VOUCHER</w:t>
            </w:r>
          </w:p>
        </w:tc>
        <w:tc>
          <w:tcPr>
            <w:tcW w:w="1727" w:type="dxa"/>
            <w:tcBorders>
              <w:top w:val="none" w:sz="0" w:space="0" w:color="auto"/>
              <w:left w:val="none" w:sz="0" w:space="0" w:color="auto"/>
              <w:bottom w:val="none" w:sz="0" w:space="0" w:color="auto"/>
              <w:right w:val="none" w:sz="0" w:space="0" w:color="auto"/>
            </w:tcBorders>
          </w:tcPr>
          <w:p w14:paraId="58472181" w14:textId="7D9464EA" w:rsidR="00711C7B" w:rsidRDefault="00711C7B" w:rsidP="00660101">
            <w:pPr>
              <w:cnfStyle w:val="100000000000" w:firstRow="1" w:lastRow="0" w:firstColumn="0" w:lastColumn="0" w:oddVBand="0" w:evenVBand="0" w:oddHBand="0" w:evenHBand="0" w:firstRowFirstColumn="0" w:firstRowLastColumn="0" w:lastRowFirstColumn="0" w:lastRowLastColumn="0"/>
            </w:pPr>
            <w:r>
              <w:t>Tip document</w:t>
            </w:r>
          </w:p>
        </w:tc>
        <w:tc>
          <w:tcPr>
            <w:tcW w:w="1410" w:type="dxa"/>
            <w:tcBorders>
              <w:top w:val="none" w:sz="0" w:space="0" w:color="auto"/>
              <w:left w:val="none" w:sz="0" w:space="0" w:color="auto"/>
              <w:bottom w:val="none" w:sz="0" w:space="0" w:color="auto"/>
              <w:right w:val="none" w:sz="0" w:space="0" w:color="auto"/>
            </w:tcBorders>
          </w:tcPr>
          <w:p w14:paraId="5E43AE22" w14:textId="5D69701F" w:rsidR="00711C7B" w:rsidRDefault="00711C7B" w:rsidP="00660101">
            <w:pPr>
              <w:cnfStyle w:val="100000000000" w:firstRow="1" w:lastRow="0" w:firstColumn="0" w:lastColumn="0" w:oddVBand="0" w:evenVBand="0" w:oddHBand="0" w:evenHBand="0" w:firstRowFirstColumn="0" w:firstRowLastColumn="0" w:lastRowFirstColumn="0" w:lastRowLastColumn="0"/>
            </w:pPr>
            <w:r>
              <w:t>Alte info</w:t>
            </w:r>
          </w:p>
        </w:tc>
        <w:tc>
          <w:tcPr>
            <w:tcW w:w="2667" w:type="dxa"/>
            <w:tcBorders>
              <w:top w:val="none" w:sz="0" w:space="0" w:color="auto"/>
              <w:left w:val="none" w:sz="0" w:space="0" w:color="auto"/>
              <w:bottom w:val="none" w:sz="0" w:space="0" w:color="auto"/>
            </w:tcBorders>
          </w:tcPr>
          <w:p w14:paraId="5F1B8EC9" w14:textId="7AD7F154" w:rsidR="00711C7B" w:rsidRDefault="00711C7B" w:rsidP="00660101">
            <w:pPr>
              <w:cnfStyle w:val="100000000000" w:firstRow="1" w:lastRow="0" w:firstColumn="0" w:lastColumn="0" w:oddVBand="0" w:evenVBand="0" w:oddHBand="0" w:evenHBand="0" w:firstRowFirstColumn="0" w:firstRowLastColumn="0" w:lastRowFirstColumn="0" w:lastRowLastColumn="0"/>
            </w:pPr>
            <w:r>
              <w:t>Nr. _dată document</w:t>
            </w:r>
          </w:p>
        </w:tc>
      </w:tr>
      <w:tr w:rsidR="00711C7B" w14:paraId="7B0A79F7" w14:textId="77777777" w:rsidTr="00DA3A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9" w:type="dxa"/>
          </w:tcPr>
          <w:p w14:paraId="52B60CB6" w14:textId="50001BCA" w:rsidR="00711C7B" w:rsidRDefault="00711C7B" w:rsidP="00660101">
            <w:r>
              <w:t>CT</w:t>
            </w:r>
          </w:p>
        </w:tc>
        <w:tc>
          <w:tcPr>
            <w:tcW w:w="582" w:type="dxa"/>
          </w:tcPr>
          <w:p w14:paraId="6D325192" w14:textId="21F90CD7" w:rsidR="00711C7B" w:rsidRDefault="00711C7B" w:rsidP="00660101">
            <w:pPr>
              <w:cnfStyle w:val="000000100000" w:firstRow="0" w:lastRow="0" w:firstColumn="0" w:lastColumn="0" w:oddVBand="0" w:evenVBand="0" w:oddHBand="1" w:evenHBand="0" w:firstRowFirstColumn="0" w:firstRowLastColumn="0" w:lastRowFirstColumn="0" w:lastRowLastColumn="0"/>
            </w:pPr>
            <w:r>
              <w:t>1-n</w:t>
            </w:r>
          </w:p>
        </w:tc>
        <w:tc>
          <w:tcPr>
            <w:tcW w:w="1261" w:type="dxa"/>
          </w:tcPr>
          <w:p w14:paraId="1DB4A84D" w14:textId="488BAFF8" w:rsidR="00711C7B" w:rsidRDefault="00711C7B" w:rsidP="00660101">
            <w:pPr>
              <w:cnfStyle w:val="000000100000" w:firstRow="0" w:lastRow="0" w:firstColumn="0" w:lastColumn="0" w:oddVBand="0" w:evenVBand="0" w:oddHBand="1" w:evenHBand="0" w:firstRowFirstColumn="0" w:firstRowLastColumn="0" w:lastRowFirstColumn="0" w:lastRowLastColumn="0"/>
            </w:pPr>
            <w:r>
              <w:t>V1-n = voucherul nr. ....</w:t>
            </w:r>
          </w:p>
          <w:p w14:paraId="2D1287A6" w14:textId="36592596" w:rsidR="00711C7B" w:rsidRDefault="00711C7B" w:rsidP="00660101">
            <w:pPr>
              <w:cnfStyle w:val="000000100000" w:firstRow="0" w:lastRow="0" w:firstColumn="0" w:lastColumn="0" w:oddVBand="0" w:evenVBand="0" w:oddHBand="1" w:evenHBand="0" w:firstRowFirstColumn="0" w:firstRowLastColumn="0" w:lastRowFirstColumn="0" w:lastRowLastColumn="0"/>
            </w:pPr>
          </w:p>
        </w:tc>
        <w:tc>
          <w:tcPr>
            <w:tcW w:w="1727" w:type="dxa"/>
          </w:tcPr>
          <w:p w14:paraId="6F882DB9" w14:textId="77777777" w:rsidR="00711C7B" w:rsidRDefault="00711C7B" w:rsidP="00660101">
            <w:pPr>
              <w:cnfStyle w:val="000000100000" w:firstRow="0" w:lastRow="0" w:firstColumn="0" w:lastColumn="0" w:oddVBand="0" w:evenVBand="0" w:oddHBand="1" w:evenHBand="0" w:firstRowFirstColumn="0" w:firstRowLastColumn="0" w:lastRowFirstColumn="0" w:lastRowLastColumn="0"/>
            </w:pPr>
            <w:r>
              <w:t xml:space="preserve">PVR=Proces verbal de recepție la terminarea lucrărilor </w:t>
            </w:r>
          </w:p>
          <w:p w14:paraId="60EE9C12" w14:textId="77777777" w:rsidR="00711C7B" w:rsidRDefault="00711C7B" w:rsidP="00660101">
            <w:pPr>
              <w:cnfStyle w:val="000000100000" w:firstRow="0" w:lastRow="0" w:firstColumn="0" w:lastColumn="0" w:oddVBand="0" w:evenVBand="0" w:oddHBand="1" w:evenHBand="0" w:firstRowFirstColumn="0" w:firstRowLastColumn="0" w:lastRowFirstColumn="0" w:lastRowLastColumn="0"/>
            </w:pPr>
          </w:p>
          <w:p w14:paraId="68584409" w14:textId="7F96E9B3" w:rsidR="00711C7B" w:rsidRDefault="00711C7B" w:rsidP="00660101">
            <w:pPr>
              <w:cnfStyle w:val="000000100000" w:firstRow="0" w:lastRow="0" w:firstColumn="0" w:lastColumn="0" w:oddVBand="0" w:evenVBand="0" w:oddHBand="1" w:evenHBand="0" w:firstRowFirstColumn="0" w:firstRowLastColumn="0" w:lastRowFirstColumn="0" w:lastRowLastColumn="0"/>
            </w:pPr>
            <w:r>
              <w:t>CPE_F=Certificat de performanță energetică final</w:t>
            </w:r>
          </w:p>
          <w:p w14:paraId="412A30FE" w14:textId="77777777" w:rsidR="00711C7B" w:rsidRDefault="00711C7B" w:rsidP="00660101">
            <w:pPr>
              <w:cnfStyle w:val="000000100000" w:firstRow="0" w:lastRow="0" w:firstColumn="0" w:lastColumn="0" w:oddVBand="0" w:evenVBand="0" w:oddHBand="1" w:evenHBand="0" w:firstRowFirstColumn="0" w:firstRowLastColumn="0" w:lastRowFirstColumn="0" w:lastRowLastColumn="0"/>
            </w:pPr>
          </w:p>
          <w:p w14:paraId="0B2B90D4" w14:textId="2EBF50BE" w:rsidR="00711C7B" w:rsidRDefault="00594A76" w:rsidP="00660101">
            <w:pPr>
              <w:cnfStyle w:val="000000100000" w:firstRow="0" w:lastRow="0" w:firstColumn="0" w:lastColumn="0" w:oddVBand="0" w:evenVBand="0" w:oddHBand="1" w:evenHBand="0" w:firstRowFirstColumn="0" w:firstRowLastColumn="0" w:lastRowFirstColumn="0" w:lastRowLastColumn="0"/>
            </w:pPr>
            <w:r>
              <w:t>C</w:t>
            </w:r>
            <w:r w:rsidR="00711C7B">
              <w:t>R=</w:t>
            </w:r>
            <w:r>
              <w:t>Certificat</w:t>
            </w:r>
            <w:r w:rsidR="00711C7B">
              <w:t xml:space="preserve"> de racordare</w:t>
            </w:r>
          </w:p>
          <w:p w14:paraId="7A8EDED2" w14:textId="77777777" w:rsidR="00711C7B" w:rsidRDefault="00711C7B" w:rsidP="00660101">
            <w:pPr>
              <w:cnfStyle w:val="000000100000" w:firstRow="0" w:lastRow="0" w:firstColumn="0" w:lastColumn="0" w:oddVBand="0" w:evenVBand="0" w:oddHBand="1" w:evenHBand="0" w:firstRowFirstColumn="0" w:firstRowLastColumn="0" w:lastRowFirstColumn="0" w:lastRowLastColumn="0"/>
            </w:pPr>
          </w:p>
          <w:p w14:paraId="3AEAA380" w14:textId="5241DB15" w:rsidR="00711C7B" w:rsidRDefault="00711C7B" w:rsidP="00660101">
            <w:pPr>
              <w:cnfStyle w:val="000000100000" w:firstRow="0" w:lastRow="0" w:firstColumn="0" w:lastColumn="0" w:oddVBand="0" w:evenVBand="0" w:oddHBand="1" w:evenHBand="0" w:firstRowFirstColumn="0" w:firstRowLastColumn="0" w:lastRowFirstColumn="0" w:lastRowLastColumn="0"/>
            </w:pPr>
            <w:r>
              <w:t>FOTO=Fotografii relevante</w:t>
            </w:r>
          </w:p>
        </w:tc>
        <w:tc>
          <w:tcPr>
            <w:tcW w:w="1410" w:type="dxa"/>
          </w:tcPr>
          <w:p w14:paraId="53C5398B" w14:textId="77777777" w:rsidR="00711C7B" w:rsidRDefault="00711C7B" w:rsidP="00660101">
            <w:pPr>
              <w:cnfStyle w:val="000000100000" w:firstRow="0" w:lastRow="0" w:firstColumn="0" w:lastColumn="0" w:oddVBand="0" w:evenVBand="0" w:oddHBand="1" w:evenHBand="0" w:firstRowFirstColumn="0" w:firstRowLastColumn="0" w:lastRowFirstColumn="0" w:lastRowLastColumn="0"/>
            </w:pPr>
            <w:r>
              <w:t>PF=panouri fotovoltaice</w:t>
            </w:r>
          </w:p>
          <w:p w14:paraId="1DA53D31" w14:textId="77777777" w:rsidR="00711C7B" w:rsidRDefault="00711C7B" w:rsidP="00660101">
            <w:pPr>
              <w:cnfStyle w:val="000000100000" w:firstRow="0" w:lastRow="0" w:firstColumn="0" w:lastColumn="0" w:oddVBand="0" w:evenVBand="0" w:oddHBand="1" w:evenHBand="0" w:firstRowFirstColumn="0" w:firstRowLastColumn="0" w:lastRowFirstColumn="0" w:lastRowLastColumn="0"/>
            </w:pPr>
            <w:r>
              <w:t>RE=Renovare energetică</w:t>
            </w:r>
          </w:p>
          <w:p w14:paraId="2B9993AC" w14:textId="77777777" w:rsidR="00711C7B" w:rsidRDefault="00711C7B" w:rsidP="00660101">
            <w:pPr>
              <w:cnfStyle w:val="000000100000" w:firstRow="0" w:lastRow="0" w:firstColumn="0" w:lastColumn="0" w:oddVBand="0" w:evenVBand="0" w:oddHBand="1" w:evenHBand="0" w:firstRowFirstColumn="0" w:firstRowLastColumn="0" w:lastRowFirstColumn="0" w:lastRowLastColumn="0"/>
            </w:pPr>
          </w:p>
          <w:p w14:paraId="7D67538C" w14:textId="77777777" w:rsidR="00711C7B" w:rsidRDefault="00711C7B" w:rsidP="00660101">
            <w:pPr>
              <w:cnfStyle w:val="000000100000" w:firstRow="0" w:lastRow="0" w:firstColumn="0" w:lastColumn="0" w:oddVBand="0" w:evenVBand="0" w:oddHBand="1" w:evenHBand="0" w:firstRowFirstColumn="0" w:firstRowLastColumn="0" w:lastRowFirstColumn="0" w:lastRowLastColumn="0"/>
            </w:pPr>
          </w:p>
          <w:p w14:paraId="0B386379" w14:textId="359AA5D7" w:rsidR="00711C7B" w:rsidRDefault="00711C7B" w:rsidP="00660101">
            <w:pPr>
              <w:cnfStyle w:val="000000100000" w:firstRow="0" w:lastRow="0" w:firstColumn="0" w:lastColumn="0" w:oddVBand="0" w:evenVBand="0" w:oddHBand="1" w:evenHBand="0" w:firstRowFirstColumn="0" w:firstRowLastColumn="0" w:lastRowFirstColumn="0" w:lastRowLastColumn="0"/>
            </w:pPr>
            <w:r>
              <w:t>-</w:t>
            </w:r>
          </w:p>
          <w:p w14:paraId="59706BC9" w14:textId="77777777" w:rsidR="00711C7B" w:rsidRDefault="00711C7B" w:rsidP="00660101">
            <w:pPr>
              <w:cnfStyle w:val="000000100000" w:firstRow="0" w:lastRow="0" w:firstColumn="0" w:lastColumn="0" w:oddVBand="0" w:evenVBand="0" w:oddHBand="1" w:evenHBand="0" w:firstRowFirstColumn="0" w:firstRowLastColumn="0" w:lastRowFirstColumn="0" w:lastRowLastColumn="0"/>
            </w:pPr>
          </w:p>
          <w:p w14:paraId="6758AA8A" w14:textId="77777777" w:rsidR="00711C7B" w:rsidRDefault="00711C7B" w:rsidP="00660101">
            <w:pPr>
              <w:cnfStyle w:val="000000100000" w:firstRow="0" w:lastRow="0" w:firstColumn="0" w:lastColumn="0" w:oddVBand="0" w:evenVBand="0" w:oddHBand="1" w:evenHBand="0" w:firstRowFirstColumn="0" w:firstRowLastColumn="0" w:lastRowFirstColumn="0" w:lastRowLastColumn="0"/>
            </w:pPr>
          </w:p>
          <w:p w14:paraId="7ECD2F1E" w14:textId="77777777" w:rsidR="00711C7B" w:rsidRDefault="00711C7B" w:rsidP="00660101">
            <w:pPr>
              <w:cnfStyle w:val="000000100000" w:firstRow="0" w:lastRow="0" w:firstColumn="0" w:lastColumn="0" w:oddVBand="0" w:evenVBand="0" w:oddHBand="1" w:evenHBand="0" w:firstRowFirstColumn="0" w:firstRowLastColumn="0" w:lastRowFirstColumn="0" w:lastRowLastColumn="0"/>
            </w:pPr>
          </w:p>
          <w:p w14:paraId="59597B4B" w14:textId="77777777" w:rsidR="00711C7B" w:rsidRDefault="00711C7B" w:rsidP="00711C7B">
            <w:pPr>
              <w:cnfStyle w:val="000000100000" w:firstRow="0" w:lastRow="0" w:firstColumn="0" w:lastColumn="0" w:oddVBand="0" w:evenVBand="0" w:oddHBand="1" w:evenHBand="0" w:firstRowFirstColumn="0" w:firstRowLastColumn="0" w:lastRowFirstColumn="0" w:lastRowLastColumn="0"/>
            </w:pPr>
            <w:r>
              <w:t>-</w:t>
            </w:r>
          </w:p>
          <w:p w14:paraId="3BF855FB" w14:textId="77777777" w:rsidR="00711C7B" w:rsidRDefault="00711C7B" w:rsidP="00660101">
            <w:pPr>
              <w:cnfStyle w:val="000000100000" w:firstRow="0" w:lastRow="0" w:firstColumn="0" w:lastColumn="0" w:oddVBand="0" w:evenVBand="0" w:oddHBand="1" w:evenHBand="0" w:firstRowFirstColumn="0" w:firstRowLastColumn="0" w:lastRowFirstColumn="0" w:lastRowLastColumn="0"/>
            </w:pPr>
          </w:p>
          <w:p w14:paraId="0AC4621B" w14:textId="08D8F9F5" w:rsidR="00711C7B" w:rsidRDefault="00711C7B" w:rsidP="00660101">
            <w:pPr>
              <w:cnfStyle w:val="000000100000" w:firstRow="0" w:lastRow="0" w:firstColumn="0" w:lastColumn="0" w:oddVBand="0" w:evenVBand="0" w:oddHBand="1" w:evenHBand="0" w:firstRowFirstColumn="0" w:firstRowLastColumn="0" w:lastRowFirstColumn="0" w:lastRowLastColumn="0"/>
            </w:pPr>
            <w:r>
              <w:t>-</w:t>
            </w:r>
          </w:p>
          <w:p w14:paraId="78D8F0CB" w14:textId="77777777" w:rsidR="00711C7B" w:rsidRDefault="00711C7B" w:rsidP="00660101">
            <w:pPr>
              <w:cnfStyle w:val="000000100000" w:firstRow="0" w:lastRow="0" w:firstColumn="0" w:lastColumn="0" w:oddVBand="0" w:evenVBand="0" w:oddHBand="1" w:evenHBand="0" w:firstRowFirstColumn="0" w:firstRowLastColumn="0" w:lastRowFirstColumn="0" w:lastRowLastColumn="0"/>
            </w:pPr>
          </w:p>
          <w:p w14:paraId="04CC0ED4" w14:textId="77777777" w:rsidR="00711C7B" w:rsidRDefault="00711C7B" w:rsidP="00660101">
            <w:pPr>
              <w:cnfStyle w:val="000000100000" w:firstRow="0" w:lastRow="0" w:firstColumn="0" w:lastColumn="0" w:oddVBand="0" w:evenVBand="0" w:oddHBand="1" w:evenHBand="0" w:firstRowFirstColumn="0" w:firstRowLastColumn="0" w:lastRowFirstColumn="0" w:lastRowLastColumn="0"/>
            </w:pPr>
          </w:p>
          <w:p w14:paraId="6A004A46" w14:textId="12C26295" w:rsidR="00711C7B" w:rsidRDefault="00711C7B" w:rsidP="00660101">
            <w:pPr>
              <w:cnfStyle w:val="000000100000" w:firstRow="0" w:lastRow="0" w:firstColumn="0" w:lastColumn="0" w:oddVBand="0" w:evenVBand="0" w:oddHBand="1" w:evenHBand="0" w:firstRowFirstColumn="0" w:firstRowLastColumn="0" w:lastRowFirstColumn="0" w:lastRowLastColumn="0"/>
            </w:pPr>
            <w:r>
              <w:t>A = înainte de realizarea lucrării</w:t>
            </w:r>
          </w:p>
          <w:p w14:paraId="6AF2E55F" w14:textId="282E4389" w:rsidR="00711C7B" w:rsidRDefault="00711C7B" w:rsidP="00660101">
            <w:pPr>
              <w:cnfStyle w:val="000000100000" w:firstRow="0" w:lastRow="0" w:firstColumn="0" w:lastColumn="0" w:oddVBand="0" w:evenVBand="0" w:oddHBand="1" w:evenHBand="0" w:firstRowFirstColumn="0" w:firstRowLastColumn="0" w:lastRowFirstColumn="0" w:lastRowLastColumn="0"/>
            </w:pPr>
            <w:r>
              <w:t>B = după realizarea lucrării</w:t>
            </w:r>
          </w:p>
        </w:tc>
        <w:tc>
          <w:tcPr>
            <w:tcW w:w="2667" w:type="dxa"/>
          </w:tcPr>
          <w:p w14:paraId="34C93065" w14:textId="77777777" w:rsidR="00711C7B" w:rsidRDefault="00711C7B" w:rsidP="00660101">
            <w:pPr>
              <w:cnfStyle w:val="000000100000" w:firstRow="0" w:lastRow="0" w:firstColumn="0" w:lastColumn="0" w:oddVBand="0" w:evenVBand="0" w:oddHBand="1" w:evenHBand="0" w:firstRowFirstColumn="0" w:firstRowLastColumn="0" w:lastRowFirstColumn="0" w:lastRowLastColumn="0"/>
            </w:pPr>
            <w:r>
              <w:t>Nr_dată</w:t>
            </w:r>
          </w:p>
          <w:p w14:paraId="2552626B" w14:textId="77777777" w:rsidR="00711C7B" w:rsidRDefault="00711C7B" w:rsidP="00660101">
            <w:pPr>
              <w:cnfStyle w:val="000000100000" w:firstRow="0" w:lastRow="0" w:firstColumn="0" w:lastColumn="0" w:oddVBand="0" w:evenVBand="0" w:oddHBand="1" w:evenHBand="0" w:firstRowFirstColumn="0" w:firstRowLastColumn="0" w:lastRowFirstColumn="0" w:lastRowLastColumn="0"/>
            </w:pPr>
          </w:p>
          <w:p w14:paraId="64966089" w14:textId="77777777" w:rsidR="00711C7B" w:rsidRDefault="00711C7B" w:rsidP="00660101">
            <w:pPr>
              <w:cnfStyle w:val="000000100000" w:firstRow="0" w:lastRow="0" w:firstColumn="0" w:lastColumn="0" w:oddVBand="0" w:evenVBand="0" w:oddHBand="1" w:evenHBand="0" w:firstRowFirstColumn="0" w:firstRowLastColumn="0" w:lastRowFirstColumn="0" w:lastRowLastColumn="0"/>
            </w:pPr>
          </w:p>
          <w:p w14:paraId="7802546A" w14:textId="77777777" w:rsidR="00711C7B" w:rsidRDefault="00711C7B" w:rsidP="00660101">
            <w:pPr>
              <w:cnfStyle w:val="000000100000" w:firstRow="0" w:lastRow="0" w:firstColumn="0" w:lastColumn="0" w:oddVBand="0" w:evenVBand="0" w:oddHBand="1" w:evenHBand="0" w:firstRowFirstColumn="0" w:firstRowLastColumn="0" w:lastRowFirstColumn="0" w:lastRowLastColumn="0"/>
            </w:pPr>
          </w:p>
          <w:p w14:paraId="0C6D4EE3" w14:textId="77777777" w:rsidR="00711C7B" w:rsidRDefault="00711C7B" w:rsidP="00660101">
            <w:pPr>
              <w:cnfStyle w:val="000000100000" w:firstRow="0" w:lastRow="0" w:firstColumn="0" w:lastColumn="0" w:oddVBand="0" w:evenVBand="0" w:oddHBand="1" w:evenHBand="0" w:firstRowFirstColumn="0" w:firstRowLastColumn="0" w:lastRowFirstColumn="0" w:lastRowLastColumn="0"/>
            </w:pPr>
          </w:p>
          <w:p w14:paraId="58780EFD" w14:textId="77777777" w:rsidR="00711C7B" w:rsidRDefault="00711C7B" w:rsidP="00660101">
            <w:pPr>
              <w:cnfStyle w:val="000000100000" w:firstRow="0" w:lastRow="0" w:firstColumn="0" w:lastColumn="0" w:oddVBand="0" w:evenVBand="0" w:oddHBand="1" w:evenHBand="0" w:firstRowFirstColumn="0" w:firstRowLastColumn="0" w:lastRowFirstColumn="0" w:lastRowLastColumn="0"/>
            </w:pPr>
          </w:p>
          <w:p w14:paraId="10E3E66A" w14:textId="77777777" w:rsidR="00711C7B" w:rsidRDefault="00711C7B" w:rsidP="00AC2BE7">
            <w:pPr>
              <w:cnfStyle w:val="000000100000" w:firstRow="0" w:lastRow="0" w:firstColumn="0" w:lastColumn="0" w:oddVBand="0" w:evenVBand="0" w:oddHBand="1" w:evenHBand="0" w:firstRowFirstColumn="0" w:firstRowLastColumn="0" w:lastRowFirstColumn="0" w:lastRowLastColumn="0"/>
            </w:pPr>
            <w:r>
              <w:t>Nr_dată</w:t>
            </w:r>
          </w:p>
          <w:p w14:paraId="120B3692" w14:textId="77777777" w:rsidR="00711C7B" w:rsidRDefault="00711C7B" w:rsidP="00660101">
            <w:pPr>
              <w:cnfStyle w:val="000000100000" w:firstRow="0" w:lastRow="0" w:firstColumn="0" w:lastColumn="0" w:oddVBand="0" w:evenVBand="0" w:oddHBand="1" w:evenHBand="0" w:firstRowFirstColumn="0" w:firstRowLastColumn="0" w:lastRowFirstColumn="0" w:lastRowLastColumn="0"/>
            </w:pPr>
          </w:p>
          <w:p w14:paraId="53392C25" w14:textId="77777777" w:rsidR="00711C7B" w:rsidRDefault="00711C7B" w:rsidP="00660101">
            <w:pPr>
              <w:cnfStyle w:val="000000100000" w:firstRow="0" w:lastRow="0" w:firstColumn="0" w:lastColumn="0" w:oddVBand="0" w:evenVBand="0" w:oddHBand="1" w:evenHBand="0" w:firstRowFirstColumn="0" w:firstRowLastColumn="0" w:lastRowFirstColumn="0" w:lastRowLastColumn="0"/>
            </w:pPr>
          </w:p>
          <w:p w14:paraId="535F6E9E" w14:textId="77777777" w:rsidR="00711C7B" w:rsidRDefault="00711C7B" w:rsidP="00660101">
            <w:pPr>
              <w:cnfStyle w:val="000000100000" w:firstRow="0" w:lastRow="0" w:firstColumn="0" w:lastColumn="0" w:oddVBand="0" w:evenVBand="0" w:oddHBand="1" w:evenHBand="0" w:firstRowFirstColumn="0" w:firstRowLastColumn="0" w:lastRowFirstColumn="0" w:lastRowLastColumn="0"/>
            </w:pPr>
          </w:p>
          <w:p w14:paraId="0F2381D0" w14:textId="77777777" w:rsidR="00711C7B" w:rsidRDefault="00711C7B" w:rsidP="00660101">
            <w:pPr>
              <w:cnfStyle w:val="000000100000" w:firstRow="0" w:lastRow="0" w:firstColumn="0" w:lastColumn="0" w:oddVBand="0" w:evenVBand="0" w:oddHBand="1" w:evenHBand="0" w:firstRowFirstColumn="0" w:firstRowLastColumn="0" w:lastRowFirstColumn="0" w:lastRowLastColumn="0"/>
            </w:pPr>
            <w:r>
              <w:t>Nr_dată</w:t>
            </w:r>
          </w:p>
          <w:p w14:paraId="6037B6F1" w14:textId="77777777" w:rsidR="00711C7B" w:rsidRDefault="00711C7B" w:rsidP="00660101">
            <w:pPr>
              <w:cnfStyle w:val="000000100000" w:firstRow="0" w:lastRow="0" w:firstColumn="0" w:lastColumn="0" w:oddVBand="0" w:evenVBand="0" w:oddHBand="1" w:evenHBand="0" w:firstRowFirstColumn="0" w:firstRowLastColumn="0" w:lastRowFirstColumn="0" w:lastRowLastColumn="0"/>
            </w:pPr>
          </w:p>
          <w:p w14:paraId="54722619" w14:textId="77777777" w:rsidR="00711C7B" w:rsidRDefault="00711C7B" w:rsidP="00E416A4">
            <w:pPr>
              <w:cnfStyle w:val="000000100000" w:firstRow="0" w:lastRow="0" w:firstColumn="0" w:lastColumn="0" w:oddVBand="0" w:evenVBand="0" w:oddHBand="1" w:evenHBand="0" w:firstRowFirstColumn="0" w:firstRowLastColumn="0" w:lastRowFirstColumn="0" w:lastRowLastColumn="0"/>
            </w:pPr>
            <w:r>
              <w:t>Nr_dată</w:t>
            </w:r>
          </w:p>
          <w:p w14:paraId="3A2C7229" w14:textId="77777777" w:rsidR="00711C7B" w:rsidRDefault="00711C7B" w:rsidP="00660101">
            <w:pPr>
              <w:cnfStyle w:val="000000100000" w:firstRow="0" w:lastRow="0" w:firstColumn="0" w:lastColumn="0" w:oddVBand="0" w:evenVBand="0" w:oddHBand="1" w:evenHBand="0" w:firstRowFirstColumn="0" w:firstRowLastColumn="0" w:lastRowFirstColumn="0" w:lastRowLastColumn="0"/>
            </w:pPr>
          </w:p>
          <w:p w14:paraId="56246A02" w14:textId="77777777" w:rsidR="00711C7B" w:rsidRDefault="00711C7B" w:rsidP="00660101">
            <w:pPr>
              <w:cnfStyle w:val="000000100000" w:firstRow="0" w:lastRow="0" w:firstColumn="0" w:lastColumn="0" w:oddVBand="0" w:evenVBand="0" w:oddHBand="1" w:evenHBand="0" w:firstRowFirstColumn="0" w:firstRowLastColumn="0" w:lastRowFirstColumn="0" w:lastRowLastColumn="0"/>
            </w:pPr>
          </w:p>
          <w:p w14:paraId="35C25382" w14:textId="205FC188" w:rsidR="00711C7B" w:rsidRDefault="00711C7B" w:rsidP="00660101">
            <w:pPr>
              <w:cnfStyle w:val="000000100000" w:firstRow="0" w:lastRow="0" w:firstColumn="0" w:lastColumn="0" w:oddVBand="0" w:evenVBand="0" w:oddHBand="1" w:evenHBand="0" w:firstRowFirstColumn="0" w:firstRowLastColumn="0" w:lastRowFirstColumn="0" w:lastRowLastColumn="0"/>
            </w:pPr>
            <w:r>
              <w:t>Nr (1-n) doar dacă se prezintă mai multe fotografii pentru fiecare stare (înainte sau după realizarea lucrării)</w:t>
            </w:r>
          </w:p>
        </w:tc>
      </w:tr>
      <w:tr w:rsidR="00660101" w14:paraId="3CDD954C" w14:textId="77777777" w:rsidTr="00DA3A40">
        <w:tc>
          <w:tcPr>
            <w:cnfStyle w:val="001000000000" w:firstRow="0" w:lastRow="0" w:firstColumn="1" w:lastColumn="0" w:oddVBand="0" w:evenVBand="0" w:oddHBand="0" w:evenHBand="0" w:firstRowFirstColumn="0" w:firstRowLastColumn="0" w:lastRowFirstColumn="0" w:lastRowLastColumn="0"/>
            <w:tcW w:w="9016" w:type="dxa"/>
            <w:gridSpan w:val="6"/>
          </w:tcPr>
          <w:p w14:paraId="2EB3F85D" w14:textId="2C5BEA23" w:rsidR="00660101" w:rsidRPr="00087D9B" w:rsidRDefault="00660101" w:rsidP="00660101">
            <w:pPr>
              <w:jc w:val="center"/>
              <w:rPr>
                <w:b w:val="0"/>
                <w:bCs w:val="0"/>
                <w:i/>
                <w:iCs/>
              </w:rPr>
            </w:pPr>
            <w:r w:rsidRPr="00087D9B">
              <w:rPr>
                <w:b w:val="0"/>
                <w:bCs w:val="0"/>
                <w:i/>
                <w:iCs/>
              </w:rPr>
              <w:t xml:space="preserve">Exemple: </w:t>
            </w:r>
          </w:p>
          <w:p w14:paraId="2E0D7E88" w14:textId="1253B39C" w:rsidR="00660101" w:rsidRPr="00087D9B" w:rsidRDefault="00660101" w:rsidP="00660101">
            <w:pPr>
              <w:jc w:val="center"/>
              <w:rPr>
                <w:b w:val="0"/>
                <w:bCs w:val="0"/>
                <w:i/>
                <w:iCs/>
              </w:rPr>
            </w:pPr>
            <w:r w:rsidRPr="00087D9B">
              <w:rPr>
                <w:b w:val="0"/>
                <w:bCs w:val="0"/>
                <w:i/>
                <w:iCs/>
              </w:rPr>
              <w:t>CR3_V123456_PVR_PF_12_2024.pdf.=Proces verbal de recepție la terminarea lucrărilor pentru instalarea panourilor fotovoltaice nr. 12/2024 ca document justificativ pentru voucher-ul cod V123456</w:t>
            </w:r>
          </w:p>
          <w:p w14:paraId="36BE4804" w14:textId="60D8B406" w:rsidR="00660101" w:rsidRPr="00087D9B" w:rsidRDefault="00E416A4" w:rsidP="00687A48">
            <w:pPr>
              <w:jc w:val="center"/>
              <w:rPr>
                <w:b w:val="0"/>
                <w:bCs w:val="0"/>
                <w:i/>
                <w:iCs/>
              </w:rPr>
            </w:pPr>
            <w:r w:rsidRPr="00087D9B">
              <w:rPr>
                <w:b w:val="0"/>
                <w:bCs w:val="0"/>
                <w:i/>
                <w:iCs/>
              </w:rPr>
              <w:t>CR3_V123456_FOTO_A_12_2024.pdf. și CR3_V123456_FOTO_B_12_2024.pdf.=Proces verbal de recepție la terminarea lucrărilor pentru instalarea panourilor fotovoltaice nr. 12/2024 ca document justificativ pentru voucher-ul cod V123456</w:t>
            </w:r>
          </w:p>
        </w:tc>
      </w:tr>
    </w:tbl>
    <w:p w14:paraId="011984BF" w14:textId="4C2BDE02" w:rsidR="00537A1A" w:rsidRDefault="00537A1A" w:rsidP="004036F1">
      <w:pPr>
        <w:pStyle w:val="Heading2"/>
        <w:numPr>
          <w:ilvl w:val="0"/>
          <w:numId w:val="7"/>
        </w:numPr>
      </w:pPr>
      <w:r>
        <w:t>CONDIȚII SPECIFICE</w:t>
      </w:r>
    </w:p>
    <w:p w14:paraId="3684A6A2" w14:textId="3456607C" w:rsidR="00676A80" w:rsidRDefault="00676A80" w:rsidP="00676A80">
      <w:r w:rsidRPr="009263E7">
        <w:rPr>
          <w:rStyle w:val="Heading3Char"/>
        </w:rPr>
        <w:t>Prima cerere de transfer</w:t>
      </w:r>
      <w:r w:rsidR="00986685">
        <w:rPr>
          <w:rStyle w:val="Heading3Char"/>
        </w:rPr>
        <w:t xml:space="preserve"> (nr. 1)</w:t>
      </w:r>
      <w:r>
        <w:t>, se va depune în termen de cel mult 15 zile lucrătoare de la semnarea contractului de finanțare și</w:t>
      </w:r>
      <w:r w:rsidRPr="00DB2488">
        <w:t xml:space="preserve"> va cuprinde contravaloarea voucherelor pentru auditul energetic, pentru certificatul de performanță energetică - inițial și pentru expertiza tehnică.  </w:t>
      </w:r>
    </w:p>
    <w:p w14:paraId="59DE3787" w14:textId="3ADBA2C4" w:rsidR="004036F1" w:rsidRDefault="004036F1" w:rsidP="004036F1">
      <w:r w:rsidRPr="00DB2488">
        <w:t>Prin cerer</w:t>
      </w:r>
      <w:r>
        <w:t>ea</w:t>
      </w:r>
      <w:r w:rsidRPr="00DB2488">
        <w:t xml:space="preserve"> de transfer, beneficiarul finanțării va solicita contravaloarea în lei a voucherelor atribuite, în sume fixe, conform bugetului aprobat, cu modificările și completările ulterioare. </w:t>
      </w:r>
    </w:p>
    <w:p w14:paraId="6C6E2DC1" w14:textId="77777777" w:rsidR="004036F1" w:rsidRDefault="004036F1" w:rsidP="00676A80"/>
    <w:tbl>
      <w:tblPr>
        <w:tblStyle w:val="GridTable2-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0"/>
        <w:gridCol w:w="2256"/>
      </w:tblGrid>
      <w:tr w:rsidR="00986685" w:rsidRPr="00986685" w14:paraId="394F785C" w14:textId="77777777" w:rsidTr="00425DE7">
        <w:trPr>
          <w:cnfStyle w:val="100000000000" w:firstRow="1" w:lastRow="0" w:firstColumn="0" w:lastColumn="0" w:oddVBand="0" w:evenVBand="0" w:oddHBand="0" w:evenHBand="0" w:firstRowFirstColumn="0" w:firstRowLastColumn="0" w:lastRowFirstColumn="0" w:lastRowLastColumn="0"/>
          <w:trHeight w:val="595"/>
        </w:trPr>
        <w:tc>
          <w:tcPr>
            <w:cnfStyle w:val="001000000000" w:firstRow="0" w:lastRow="0" w:firstColumn="1" w:lastColumn="0" w:oddVBand="0" w:evenVBand="0" w:oddHBand="0" w:evenHBand="0" w:firstRowFirstColumn="0" w:firstRowLastColumn="0" w:lastRowFirstColumn="0" w:lastRowLastColumn="0"/>
            <w:tcW w:w="3749" w:type="pct"/>
            <w:tcBorders>
              <w:top w:val="none" w:sz="0" w:space="0" w:color="auto"/>
              <w:bottom w:val="none" w:sz="0" w:space="0" w:color="auto"/>
              <w:right w:val="none" w:sz="0" w:space="0" w:color="auto"/>
            </w:tcBorders>
            <w:vAlign w:val="center"/>
          </w:tcPr>
          <w:p w14:paraId="766DA0AC" w14:textId="5323E643" w:rsidR="00CC6B72" w:rsidRPr="00986685" w:rsidRDefault="00CC6B72" w:rsidP="00425DE7">
            <w:pPr>
              <w:spacing w:line="259" w:lineRule="auto"/>
              <w:ind w:right="66"/>
              <w:jc w:val="center"/>
            </w:pPr>
            <w:r w:rsidRPr="00986685">
              <w:lastRenderedPageBreak/>
              <w:t>Voucher pe tip de activitate eligibilă</w:t>
            </w:r>
          </w:p>
        </w:tc>
        <w:tc>
          <w:tcPr>
            <w:tcW w:w="1251" w:type="pct"/>
            <w:tcBorders>
              <w:top w:val="none" w:sz="0" w:space="0" w:color="auto"/>
              <w:left w:val="none" w:sz="0" w:space="0" w:color="auto"/>
              <w:bottom w:val="none" w:sz="0" w:space="0" w:color="auto"/>
            </w:tcBorders>
            <w:vAlign w:val="center"/>
          </w:tcPr>
          <w:p w14:paraId="66B9CE68" w14:textId="3A4814D4" w:rsidR="00CC6B72" w:rsidRPr="00986685" w:rsidRDefault="00CC6B72" w:rsidP="00425DE7">
            <w:pPr>
              <w:spacing w:line="259" w:lineRule="auto"/>
              <w:ind w:left="569" w:hanging="473"/>
              <w:jc w:val="center"/>
              <w:cnfStyle w:val="100000000000" w:firstRow="1" w:lastRow="0" w:firstColumn="0" w:lastColumn="0" w:oddVBand="0" w:evenVBand="0" w:oddHBand="0" w:evenHBand="0" w:firstRowFirstColumn="0" w:firstRowLastColumn="0" w:lastRowFirstColumn="0" w:lastRowLastColumn="0"/>
            </w:pPr>
            <w:r w:rsidRPr="00986685">
              <w:t xml:space="preserve">Valoare </w:t>
            </w:r>
            <w:r w:rsidR="00615E78">
              <w:t>maximă</w:t>
            </w:r>
            <w:r w:rsidR="00615E78" w:rsidRPr="00986685">
              <w:t xml:space="preserve"> </w:t>
            </w:r>
            <w:r w:rsidRPr="00986685">
              <w:t>voucher (</w:t>
            </w:r>
            <w:r w:rsidR="00F16EBF">
              <w:t>lei</w:t>
            </w:r>
            <w:r w:rsidRPr="00986685">
              <w:t>)</w:t>
            </w:r>
            <w:r w:rsidR="00986685" w:rsidRPr="00986685">
              <w:rPr>
                <w:b w:val="0"/>
              </w:rPr>
              <w:t>*</w:t>
            </w:r>
          </w:p>
        </w:tc>
      </w:tr>
      <w:tr w:rsidR="00986685" w:rsidRPr="00986685" w14:paraId="3E137BB3" w14:textId="77777777" w:rsidTr="00DA3A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749" w:type="pct"/>
          </w:tcPr>
          <w:p w14:paraId="0793023D" w14:textId="77777777" w:rsidR="00CC6B72" w:rsidRPr="00986685" w:rsidRDefault="00CC6B72" w:rsidP="00CF641A">
            <w:pPr>
              <w:spacing w:line="259" w:lineRule="auto"/>
              <w:jc w:val="left"/>
            </w:pPr>
            <w:r w:rsidRPr="00986685">
              <w:rPr>
                <w:i/>
              </w:rPr>
              <w:t xml:space="preserve">Voucher expertiză tehnică </w:t>
            </w:r>
          </w:p>
        </w:tc>
        <w:tc>
          <w:tcPr>
            <w:tcW w:w="1251" w:type="pct"/>
          </w:tcPr>
          <w:p w14:paraId="2DC98FB0" w14:textId="4BBB30A0" w:rsidR="00CC6B72" w:rsidRPr="00425DE7" w:rsidRDefault="00425DE7" w:rsidP="00CF641A">
            <w:pPr>
              <w:spacing w:line="259" w:lineRule="auto"/>
              <w:ind w:right="59"/>
              <w:jc w:val="right"/>
              <w:cnfStyle w:val="000000100000" w:firstRow="0" w:lastRow="0" w:firstColumn="0" w:lastColumn="0" w:oddVBand="0" w:evenVBand="0" w:oddHBand="1" w:evenHBand="0" w:firstRowFirstColumn="0" w:firstRowLastColumn="0" w:lastRowFirstColumn="0" w:lastRowLastColumn="0"/>
            </w:pPr>
            <w:r w:rsidRPr="00425DE7">
              <w:rPr>
                <w:i/>
              </w:rPr>
              <w:t>3</w:t>
            </w:r>
            <w:r w:rsidR="00D33D44">
              <w:rPr>
                <w:i/>
              </w:rPr>
              <w:t>.</w:t>
            </w:r>
            <w:r w:rsidRPr="00425DE7">
              <w:rPr>
                <w:i/>
              </w:rPr>
              <w:t>48</w:t>
            </w:r>
            <w:r w:rsidR="00D33D44">
              <w:rPr>
                <w:i/>
              </w:rPr>
              <w:t>4</w:t>
            </w:r>
            <w:r w:rsidR="00CC6B72" w:rsidRPr="00425DE7">
              <w:rPr>
                <w:i/>
              </w:rPr>
              <w:t xml:space="preserve"> </w:t>
            </w:r>
          </w:p>
        </w:tc>
      </w:tr>
      <w:tr w:rsidR="00986685" w:rsidRPr="00986685" w14:paraId="786A2D25" w14:textId="77777777" w:rsidTr="00DA3A40">
        <w:trPr>
          <w:trHeight w:val="363"/>
        </w:trPr>
        <w:tc>
          <w:tcPr>
            <w:cnfStyle w:val="001000000000" w:firstRow="0" w:lastRow="0" w:firstColumn="1" w:lastColumn="0" w:oddVBand="0" w:evenVBand="0" w:oddHBand="0" w:evenHBand="0" w:firstRowFirstColumn="0" w:firstRowLastColumn="0" w:lastRowFirstColumn="0" w:lastRowLastColumn="0"/>
            <w:tcW w:w="3749" w:type="pct"/>
          </w:tcPr>
          <w:p w14:paraId="0C7D4684" w14:textId="77777777" w:rsidR="00CC6B72" w:rsidRPr="00986685" w:rsidRDefault="00CC6B72" w:rsidP="00CF641A">
            <w:pPr>
              <w:spacing w:line="259" w:lineRule="auto"/>
              <w:jc w:val="left"/>
            </w:pPr>
            <w:r w:rsidRPr="00986685">
              <w:rPr>
                <w:i/>
              </w:rPr>
              <w:t xml:space="preserve">Voucher audit energetic </w:t>
            </w:r>
          </w:p>
        </w:tc>
        <w:tc>
          <w:tcPr>
            <w:tcW w:w="1251" w:type="pct"/>
          </w:tcPr>
          <w:p w14:paraId="3D06EA2E" w14:textId="3D217A73" w:rsidR="00CC6B72" w:rsidRPr="00425DE7" w:rsidRDefault="00425DE7" w:rsidP="00CF641A">
            <w:pPr>
              <w:spacing w:line="259" w:lineRule="auto"/>
              <w:ind w:right="59"/>
              <w:jc w:val="right"/>
              <w:cnfStyle w:val="000000000000" w:firstRow="0" w:lastRow="0" w:firstColumn="0" w:lastColumn="0" w:oddVBand="0" w:evenVBand="0" w:oddHBand="0" w:evenHBand="0" w:firstRowFirstColumn="0" w:firstRowLastColumn="0" w:lastRowFirstColumn="0" w:lastRowLastColumn="0"/>
            </w:pPr>
            <w:r w:rsidRPr="00425DE7">
              <w:rPr>
                <w:i/>
              </w:rPr>
              <w:t>1</w:t>
            </w:r>
            <w:r w:rsidR="00D33D44">
              <w:rPr>
                <w:i/>
              </w:rPr>
              <w:t>.</w:t>
            </w:r>
            <w:r w:rsidRPr="00425DE7">
              <w:rPr>
                <w:i/>
              </w:rPr>
              <w:t>493</w:t>
            </w:r>
            <w:r w:rsidR="00CC6B72" w:rsidRPr="00425DE7">
              <w:rPr>
                <w:i/>
              </w:rPr>
              <w:t xml:space="preserve"> </w:t>
            </w:r>
          </w:p>
        </w:tc>
      </w:tr>
      <w:tr w:rsidR="00986685" w:rsidRPr="00986685" w14:paraId="2D876D53" w14:textId="77777777" w:rsidTr="00DA3A40">
        <w:trPr>
          <w:cnfStyle w:val="000000100000" w:firstRow="0" w:lastRow="0" w:firstColumn="0" w:lastColumn="0" w:oddVBand="0" w:evenVBand="0" w:oddHBand="1"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3749" w:type="pct"/>
          </w:tcPr>
          <w:p w14:paraId="47BFA711" w14:textId="27410764" w:rsidR="00CC6B72" w:rsidRPr="00986685" w:rsidRDefault="00CC6B72" w:rsidP="00CF641A">
            <w:pPr>
              <w:spacing w:line="259" w:lineRule="auto"/>
              <w:jc w:val="left"/>
            </w:pPr>
            <w:r w:rsidRPr="00986685">
              <w:rPr>
                <w:i/>
              </w:rPr>
              <w:t>Voucher certificat de performanță energetică (</w:t>
            </w:r>
            <w:r w:rsidR="00856D4B">
              <w:rPr>
                <w:i/>
              </w:rPr>
              <w:t>inițial</w:t>
            </w:r>
            <w:r w:rsidRPr="00986685">
              <w:rPr>
                <w:i/>
              </w:rPr>
              <w:t xml:space="preserve">) </w:t>
            </w:r>
          </w:p>
        </w:tc>
        <w:tc>
          <w:tcPr>
            <w:tcW w:w="1251" w:type="pct"/>
          </w:tcPr>
          <w:p w14:paraId="1E790B53" w14:textId="6FC83A73" w:rsidR="00CC6B72" w:rsidRPr="00425DE7" w:rsidRDefault="00425DE7" w:rsidP="00CF641A">
            <w:pPr>
              <w:spacing w:line="259" w:lineRule="auto"/>
              <w:ind w:right="59"/>
              <w:jc w:val="right"/>
              <w:cnfStyle w:val="000000100000" w:firstRow="0" w:lastRow="0" w:firstColumn="0" w:lastColumn="0" w:oddVBand="0" w:evenVBand="0" w:oddHBand="1" w:evenHBand="0" w:firstRowFirstColumn="0" w:firstRowLastColumn="0" w:lastRowFirstColumn="0" w:lastRowLastColumn="0"/>
            </w:pPr>
            <w:r w:rsidRPr="00425DE7">
              <w:rPr>
                <w:i/>
              </w:rPr>
              <w:t>498</w:t>
            </w:r>
            <w:r w:rsidR="00CC6B72" w:rsidRPr="00425DE7">
              <w:rPr>
                <w:i/>
              </w:rPr>
              <w:t xml:space="preserve"> </w:t>
            </w:r>
          </w:p>
        </w:tc>
      </w:tr>
      <w:tr w:rsidR="00986685" w:rsidRPr="00986685" w14:paraId="0063E5E7" w14:textId="77777777" w:rsidTr="00DA3A40">
        <w:trPr>
          <w:trHeight w:val="595"/>
        </w:trPr>
        <w:tc>
          <w:tcPr>
            <w:cnfStyle w:val="001000000000" w:firstRow="0" w:lastRow="0" w:firstColumn="1" w:lastColumn="0" w:oddVBand="0" w:evenVBand="0" w:oddHBand="0" w:evenHBand="0" w:firstRowFirstColumn="0" w:firstRowLastColumn="0" w:lastRowFirstColumn="0" w:lastRowLastColumn="0"/>
            <w:tcW w:w="3749" w:type="pct"/>
          </w:tcPr>
          <w:p w14:paraId="3F79E145" w14:textId="0344F5B5" w:rsidR="00CC6B72" w:rsidRPr="00986685" w:rsidRDefault="004036F1" w:rsidP="00CF641A">
            <w:pPr>
              <w:spacing w:line="259" w:lineRule="auto"/>
              <w:jc w:val="left"/>
            </w:pPr>
            <w:r>
              <w:t>Total cumul vouchere pentru o singură clădire rezidențială unifamilială</w:t>
            </w:r>
          </w:p>
        </w:tc>
        <w:tc>
          <w:tcPr>
            <w:tcW w:w="1251" w:type="pct"/>
          </w:tcPr>
          <w:p w14:paraId="41C3DEEC" w14:textId="792CBE96" w:rsidR="00CC6B72" w:rsidRPr="00425DE7" w:rsidRDefault="00425DE7" w:rsidP="00CF641A">
            <w:pPr>
              <w:spacing w:line="259" w:lineRule="auto"/>
              <w:ind w:right="62"/>
              <w:jc w:val="right"/>
              <w:cnfStyle w:val="000000000000" w:firstRow="0" w:lastRow="0" w:firstColumn="0" w:lastColumn="0" w:oddVBand="0" w:evenVBand="0" w:oddHBand="0" w:evenHBand="0" w:firstRowFirstColumn="0" w:firstRowLastColumn="0" w:lastRowFirstColumn="0" w:lastRowLastColumn="0"/>
            </w:pPr>
            <w:r w:rsidRPr="00425DE7">
              <w:rPr>
                <w:b/>
              </w:rPr>
              <w:t>5</w:t>
            </w:r>
            <w:r w:rsidR="00D33D44">
              <w:rPr>
                <w:b/>
              </w:rPr>
              <w:t>.</w:t>
            </w:r>
            <w:r w:rsidRPr="00425DE7">
              <w:rPr>
                <w:b/>
              </w:rPr>
              <w:t>47</w:t>
            </w:r>
            <w:r w:rsidR="00D33D44">
              <w:rPr>
                <w:b/>
              </w:rPr>
              <w:t>5</w:t>
            </w:r>
            <w:r w:rsidR="00CC6B72" w:rsidRPr="00425DE7">
              <w:rPr>
                <w:b/>
              </w:rPr>
              <w:t xml:space="preserve"> </w:t>
            </w:r>
          </w:p>
        </w:tc>
      </w:tr>
    </w:tbl>
    <w:p w14:paraId="49DB41FE" w14:textId="0F12FFED" w:rsidR="00CC6B72" w:rsidRDefault="00986685" w:rsidP="00676A80">
      <w:r w:rsidRPr="00425DE7">
        <w:t>*</w:t>
      </w:r>
      <w:r w:rsidRPr="00425DE7">
        <w:rPr>
          <w:i/>
          <w:iCs/>
        </w:rPr>
        <w:t>contravaloarea în lei se va determina la cursul la care s-a încheiat contractul de finanțare.</w:t>
      </w:r>
    </w:p>
    <w:p w14:paraId="427E6359" w14:textId="77777777" w:rsidR="00F16EBF" w:rsidRPr="00DB2488" w:rsidRDefault="00F16EBF" w:rsidP="00F16EBF">
      <w:r>
        <w:t>Sumele care depășesc valoarea maximă a fiecărui voucher nu sunt eligibile și se suportă de beneficiar.</w:t>
      </w:r>
    </w:p>
    <w:p w14:paraId="1EA01B4E" w14:textId="005C2561" w:rsidR="00CC6B72" w:rsidRDefault="00CC6B72" w:rsidP="00CC6B72">
      <w:r>
        <w:t>Sumele reprezentând TVA nedeductibilă aferentă voucherelor se vor solicita în cadrul aceleiași cereri de transfer și se vor evidenția distinct.</w:t>
      </w:r>
      <w:r w:rsidR="004036F1">
        <w:t xml:space="preserve"> Sumele cu TVA </w:t>
      </w:r>
      <w:r w:rsidR="00F16EBF">
        <w:t xml:space="preserve">care </w:t>
      </w:r>
      <w:r w:rsidR="004036F1">
        <w:t>pot fi solicitate sunt în limita cotei TVA aplicabile tipului de activitate prestată, conform legislației în vigoare</w:t>
      </w:r>
      <w:r w:rsidR="00F16EBF">
        <w:t>, precum și în limita valorii rezultate în urma aplicării cotei la valoarea voucherului.</w:t>
      </w:r>
    </w:p>
    <w:p w14:paraId="07EFBFC8" w14:textId="77777777" w:rsidR="00A76D2D" w:rsidRPr="00DB2488" w:rsidRDefault="00A76D2D" w:rsidP="00A76D2D">
      <w:r w:rsidRPr="00A76D2D">
        <w:t>Prima cerere de transfer</w:t>
      </w:r>
      <w:r w:rsidRPr="00DB2488">
        <w:t xml:space="preserve"> va fi însoțită de: </w:t>
      </w:r>
    </w:p>
    <w:p w14:paraId="139D1AF9" w14:textId="77777777" w:rsidR="00A76D2D" w:rsidRDefault="00A76D2D" w:rsidP="00A76D2D">
      <w:pPr>
        <w:pStyle w:val="ListParagraph"/>
        <w:numPr>
          <w:ilvl w:val="0"/>
          <w:numId w:val="4"/>
        </w:numPr>
      </w:pPr>
      <w:r w:rsidRPr="00DB2488">
        <w:t xml:space="preserve">Grafic estimativ al termenelor de depunere a cererilor de transfer, dacă </w:t>
      </w:r>
      <w:r>
        <w:t>nu a fost depus anterior,</w:t>
      </w:r>
      <w:r w:rsidRPr="00DB2488">
        <w:t xml:space="preserve"> </w:t>
      </w:r>
    </w:p>
    <w:p w14:paraId="0D208898" w14:textId="3920D75C" w:rsidR="00A76D2D" w:rsidRPr="00DB2488" w:rsidRDefault="00A76D2D" w:rsidP="00A76D2D">
      <w:pPr>
        <w:pStyle w:val="ListParagraph"/>
        <w:numPr>
          <w:ilvl w:val="0"/>
          <w:numId w:val="4"/>
        </w:numPr>
      </w:pPr>
      <w:r w:rsidRPr="00DB2488">
        <w:t>Cerere de transfer, formular tipizat,</w:t>
      </w:r>
      <w:r>
        <w:t xml:space="preserve"> cuprinzând o </w:t>
      </w:r>
      <w:r w:rsidRPr="00DB2488">
        <w:t>detaliere a activităților realizate și pentru care se solicită transferul sumelor</w:t>
      </w:r>
      <w:r w:rsidR="006F612C">
        <w:t>, precum și un centralizator al sumelor solicitate reprezentând contravaloarea voucherelor și, unde este cazul TVA-</w:t>
      </w:r>
      <w:proofErr w:type="spellStart"/>
      <w:r w:rsidR="006F612C">
        <w:t>ul</w:t>
      </w:r>
      <w:proofErr w:type="spellEnd"/>
      <w:r w:rsidR="006F612C">
        <w:t xml:space="preserve"> aferent</w:t>
      </w:r>
      <w:r w:rsidRPr="00DB2488">
        <w:t xml:space="preserve">, </w:t>
      </w:r>
    </w:p>
    <w:p w14:paraId="6BC7B367" w14:textId="15B0C208" w:rsidR="00BC4FB5" w:rsidRDefault="00A76D2D" w:rsidP="00A76D2D">
      <w:pPr>
        <w:pStyle w:val="ListParagraph"/>
        <w:numPr>
          <w:ilvl w:val="0"/>
          <w:numId w:val="4"/>
        </w:numPr>
      </w:pPr>
      <w:r w:rsidRPr="00DB2488">
        <w:t>Raportul de progres și documentele justificative corespunzătoare progresului înregistrat</w:t>
      </w:r>
      <w:r w:rsidR="00BC4FB5">
        <w:t>, cuprinzând cel puțin următoarele:</w:t>
      </w:r>
    </w:p>
    <w:p w14:paraId="54C49F90" w14:textId="3F941231" w:rsidR="002A247E" w:rsidRDefault="00A76D2D" w:rsidP="00BC4FB5">
      <w:pPr>
        <w:pStyle w:val="ListParagraph"/>
        <w:numPr>
          <w:ilvl w:val="1"/>
          <w:numId w:val="4"/>
        </w:numPr>
      </w:pPr>
      <w:r w:rsidRPr="00DB2488">
        <w:t>dovada îndeplinirii activităților obligatorii de informare și publicitate</w:t>
      </w:r>
      <w:r w:rsidR="00BC4FB5">
        <w:t>, aplicabile momentului demarării investiției,</w:t>
      </w:r>
      <w:r>
        <w:t xml:space="preserve"> conform MIV PNRR</w:t>
      </w:r>
      <w:r w:rsidR="002A247E">
        <w:t>: comunicat de presă la începerea proiectului, afișe la sediul beneficiarului, secțiune specifică pe site-ul beneficiarului etc. – se vor prezenta de beneficiar link-uri în Raportul de progres, fotografii pentru afișe anexate raportului de progres, capturi de ecran sau altele asemenea)</w:t>
      </w:r>
    </w:p>
    <w:p w14:paraId="3424E34C" w14:textId="073878ED" w:rsidR="00A76D2D" w:rsidRDefault="002A247E" w:rsidP="00BC4FB5">
      <w:pPr>
        <w:pStyle w:val="ListParagraph"/>
        <w:numPr>
          <w:ilvl w:val="1"/>
          <w:numId w:val="4"/>
        </w:numPr>
      </w:pPr>
      <w:r>
        <w:t>detalii cu privire la respectarea principiilor DNSH în conformitate cu Declarația din Cererea de finanțare.</w:t>
      </w:r>
      <w:r w:rsidR="00A76D2D" w:rsidRPr="00DB2488">
        <w:t xml:space="preserve"> </w:t>
      </w:r>
    </w:p>
    <w:p w14:paraId="112943C3" w14:textId="0E4B6E64" w:rsidR="00A76D2D" w:rsidRPr="00DB2488" w:rsidRDefault="00A76D2D" w:rsidP="00A76D2D">
      <w:r w:rsidRPr="00DB2488">
        <w:t xml:space="preserve">În </w:t>
      </w:r>
      <w:r w:rsidR="00CC6B72">
        <w:t>cazul primei cereri de transfer</w:t>
      </w:r>
      <w:r w:rsidRPr="00DB2488">
        <w:t>, se va ține cont de documentele justificative existente la dosarul cererii de finanțare și care au stat la baza contractării proiectului (raport de audit energetic, expertiză tehnică, certificat de performanță)</w:t>
      </w:r>
      <w:r w:rsidR="00CC6B72">
        <w:t xml:space="preserve"> și nu se vor anexa de beneficiar cererii de transfer, cu excepția situației în care acest lucru este solicitat în mod expres în timpul verificărilor</w:t>
      </w:r>
      <w:r w:rsidRPr="00DB2488">
        <w:t xml:space="preserve">. </w:t>
      </w:r>
    </w:p>
    <w:p w14:paraId="77193AB2" w14:textId="0E91DFC2" w:rsidR="00A76D2D" w:rsidRPr="00DB2488" w:rsidRDefault="00A76D2D" w:rsidP="00A76D2D">
      <w:r w:rsidRPr="00DB2488">
        <w:t xml:space="preserve">Nu sunt eligibile pentru acordarea finanțării sub formă de voucher, activitățile care au fost inițiate/realizate în afara perioadei de eligibilitate și implementare prevăzută în </w:t>
      </w:r>
      <w:r w:rsidR="00CC6B72">
        <w:t>contractul de finanțare și/sau ghidul specific</w:t>
      </w:r>
      <w:r w:rsidRPr="00DB2488">
        <w:t xml:space="preserve">.  </w:t>
      </w:r>
    </w:p>
    <w:p w14:paraId="01D649CB" w14:textId="77777777" w:rsidR="004036F1" w:rsidRDefault="00CC6B72" w:rsidP="004036F1">
      <w:r w:rsidRPr="00CC6B72">
        <w:rPr>
          <w:rStyle w:val="Heading3Char"/>
        </w:rPr>
        <w:t>Cererile de transfer 2 – n (finală),</w:t>
      </w:r>
      <w:r>
        <w:t xml:space="preserve"> se vor depune p</w:t>
      </w:r>
      <w:r w:rsidR="00676A80" w:rsidRPr="00DB2488">
        <w:t xml:space="preserve">e măsură ce se finalizează </w:t>
      </w:r>
      <w:r w:rsidR="004036F1">
        <w:t>toate activitățile prevăzute în Ghidul specific și Contractul de finanțare, cu modificările și completările ulterioare</w:t>
      </w:r>
      <w:r w:rsidR="00676A80" w:rsidRPr="00DB2488">
        <w:t xml:space="preserve"> pentru una sau mai multe gospodării.  </w:t>
      </w:r>
    </w:p>
    <w:p w14:paraId="1AED26CD" w14:textId="7E78F830" w:rsidR="004036F1" w:rsidRPr="00DB2488" w:rsidRDefault="004036F1" w:rsidP="004036F1">
      <w:r>
        <w:t>Astfel, o cerere de transfer va cuprinde sumele aferente activităților eligibile finalizate pentru una sau mai multe gospodării.</w:t>
      </w:r>
    </w:p>
    <w:p w14:paraId="5934F287" w14:textId="77777777" w:rsidR="004036F1" w:rsidRDefault="004036F1" w:rsidP="004036F1">
      <w:r w:rsidRPr="00DB2488">
        <w:t xml:space="preserve">Prin cererile de transfer, beneficiarul finanțării va solicita contravaloarea în lei a voucherelor atribuite, în sume fixe, conform bugetului aprobat, cu modificările și completările ulterioare. </w:t>
      </w:r>
    </w:p>
    <w:tbl>
      <w:tblPr>
        <w:tblStyle w:val="GridTable2-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0"/>
        <w:gridCol w:w="2256"/>
      </w:tblGrid>
      <w:tr w:rsidR="00CC6B72" w14:paraId="11CA770B" w14:textId="77777777" w:rsidTr="00425DE7">
        <w:trPr>
          <w:cnfStyle w:val="100000000000" w:firstRow="1" w:lastRow="0" w:firstColumn="0" w:lastColumn="0" w:oddVBand="0" w:evenVBand="0" w:oddHBand="0" w:evenHBand="0" w:firstRowFirstColumn="0" w:firstRowLastColumn="0" w:lastRowFirstColumn="0" w:lastRowLastColumn="0"/>
          <w:trHeight w:val="595"/>
        </w:trPr>
        <w:tc>
          <w:tcPr>
            <w:cnfStyle w:val="001000000000" w:firstRow="0" w:lastRow="0" w:firstColumn="1" w:lastColumn="0" w:oddVBand="0" w:evenVBand="0" w:oddHBand="0" w:evenHBand="0" w:firstRowFirstColumn="0" w:firstRowLastColumn="0" w:lastRowFirstColumn="0" w:lastRowLastColumn="0"/>
            <w:tcW w:w="3749" w:type="pct"/>
            <w:tcBorders>
              <w:top w:val="none" w:sz="0" w:space="0" w:color="auto"/>
              <w:bottom w:val="none" w:sz="0" w:space="0" w:color="auto"/>
              <w:right w:val="none" w:sz="0" w:space="0" w:color="auto"/>
            </w:tcBorders>
            <w:vAlign w:val="center"/>
          </w:tcPr>
          <w:p w14:paraId="041D116F" w14:textId="66365BE2" w:rsidR="00CC6B72" w:rsidRDefault="00CC6B72" w:rsidP="00425DE7">
            <w:pPr>
              <w:spacing w:line="259" w:lineRule="auto"/>
              <w:ind w:right="66"/>
              <w:jc w:val="center"/>
            </w:pPr>
            <w:r>
              <w:lastRenderedPageBreak/>
              <w:t>Voucher pe tip de activitate eligibilă</w:t>
            </w:r>
          </w:p>
        </w:tc>
        <w:tc>
          <w:tcPr>
            <w:tcW w:w="1251" w:type="pct"/>
            <w:tcBorders>
              <w:top w:val="none" w:sz="0" w:space="0" w:color="auto"/>
              <w:left w:val="none" w:sz="0" w:space="0" w:color="auto"/>
              <w:bottom w:val="none" w:sz="0" w:space="0" w:color="auto"/>
            </w:tcBorders>
            <w:vAlign w:val="center"/>
          </w:tcPr>
          <w:p w14:paraId="6A32905C" w14:textId="604ECC49" w:rsidR="00CC6B72" w:rsidRDefault="00CC6B72" w:rsidP="00425DE7">
            <w:pPr>
              <w:spacing w:line="259" w:lineRule="auto"/>
              <w:ind w:left="569" w:hanging="473"/>
              <w:jc w:val="center"/>
              <w:cnfStyle w:val="100000000000" w:firstRow="1" w:lastRow="0" w:firstColumn="0" w:lastColumn="0" w:oddVBand="0" w:evenVBand="0" w:oddHBand="0" w:evenHBand="0" w:firstRowFirstColumn="0" w:firstRowLastColumn="0" w:lastRowFirstColumn="0" w:lastRowLastColumn="0"/>
            </w:pPr>
            <w:r>
              <w:t>Valoare</w:t>
            </w:r>
            <w:r w:rsidR="00615E78">
              <w:t xml:space="preserve"> maximă</w:t>
            </w:r>
            <w:r>
              <w:t xml:space="preserve"> voucher (</w:t>
            </w:r>
            <w:r w:rsidR="00F16EBF">
              <w:t>lei)</w:t>
            </w:r>
            <w:r>
              <w:rPr>
                <w:b w:val="0"/>
              </w:rPr>
              <w:t>*</w:t>
            </w:r>
          </w:p>
        </w:tc>
      </w:tr>
      <w:tr w:rsidR="00CC6B72" w14:paraId="6B353A38" w14:textId="77777777" w:rsidTr="00DA3A40">
        <w:trPr>
          <w:cnfStyle w:val="000000100000" w:firstRow="0" w:lastRow="0" w:firstColumn="0" w:lastColumn="0" w:oddVBand="0" w:evenVBand="0" w:oddHBand="1"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3749" w:type="pct"/>
          </w:tcPr>
          <w:p w14:paraId="1F45A64F" w14:textId="77777777" w:rsidR="00CC6B72" w:rsidRDefault="00CC6B72" w:rsidP="00CF641A">
            <w:pPr>
              <w:spacing w:line="259" w:lineRule="auto"/>
              <w:jc w:val="left"/>
            </w:pPr>
            <w:r>
              <w:rPr>
                <w:i/>
              </w:rPr>
              <w:t xml:space="preserve">Voucher renovare energetică </w:t>
            </w:r>
          </w:p>
        </w:tc>
        <w:tc>
          <w:tcPr>
            <w:tcW w:w="1251" w:type="pct"/>
          </w:tcPr>
          <w:p w14:paraId="4E09D8D9" w14:textId="37DE8646" w:rsidR="00CC6B72" w:rsidRPr="00425DE7" w:rsidRDefault="00425DE7" w:rsidP="00CF641A">
            <w:pPr>
              <w:spacing w:line="259" w:lineRule="auto"/>
              <w:ind w:right="60"/>
              <w:jc w:val="right"/>
              <w:cnfStyle w:val="000000100000" w:firstRow="0" w:lastRow="0" w:firstColumn="0" w:lastColumn="0" w:oddVBand="0" w:evenVBand="0" w:oddHBand="1" w:evenHBand="0" w:firstRowFirstColumn="0" w:firstRowLastColumn="0" w:lastRowFirstColumn="0" w:lastRowLastColumn="0"/>
            </w:pPr>
            <w:r w:rsidRPr="00425DE7">
              <w:rPr>
                <w:i/>
              </w:rPr>
              <w:t>69</w:t>
            </w:r>
            <w:r w:rsidR="00D33D44">
              <w:rPr>
                <w:i/>
              </w:rPr>
              <w:t>.</w:t>
            </w:r>
            <w:r w:rsidRPr="00425DE7">
              <w:rPr>
                <w:i/>
              </w:rPr>
              <w:t>6</w:t>
            </w:r>
            <w:r w:rsidR="00FF4AE3">
              <w:rPr>
                <w:i/>
              </w:rPr>
              <w:t>72</w:t>
            </w:r>
            <w:r w:rsidR="00CC6B72" w:rsidRPr="00425DE7">
              <w:rPr>
                <w:i/>
              </w:rPr>
              <w:t xml:space="preserve"> </w:t>
            </w:r>
          </w:p>
        </w:tc>
      </w:tr>
      <w:tr w:rsidR="00CC6B72" w14:paraId="3E6B6033" w14:textId="77777777" w:rsidTr="00DA3A40">
        <w:trPr>
          <w:trHeight w:val="362"/>
        </w:trPr>
        <w:tc>
          <w:tcPr>
            <w:cnfStyle w:val="001000000000" w:firstRow="0" w:lastRow="0" w:firstColumn="1" w:lastColumn="0" w:oddVBand="0" w:evenVBand="0" w:oddHBand="0" w:evenHBand="0" w:firstRowFirstColumn="0" w:firstRowLastColumn="0" w:lastRowFirstColumn="0" w:lastRowLastColumn="0"/>
            <w:tcW w:w="3749" w:type="pct"/>
          </w:tcPr>
          <w:p w14:paraId="74076E73" w14:textId="77777777" w:rsidR="00CC6B72" w:rsidRDefault="00CC6B72" w:rsidP="00CF641A">
            <w:pPr>
              <w:spacing w:line="259" w:lineRule="auto"/>
              <w:jc w:val="left"/>
            </w:pPr>
            <w:r>
              <w:rPr>
                <w:i/>
              </w:rPr>
              <w:t xml:space="preserve">Voucher sistem fotovoltaic </w:t>
            </w:r>
          </w:p>
        </w:tc>
        <w:tc>
          <w:tcPr>
            <w:tcW w:w="1251" w:type="pct"/>
          </w:tcPr>
          <w:p w14:paraId="5C253892" w14:textId="0B0C5A36" w:rsidR="00CC6B72" w:rsidRPr="00425DE7" w:rsidRDefault="00425DE7" w:rsidP="00CF641A">
            <w:pPr>
              <w:spacing w:line="259" w:lineRule="auto"/>
              <w:ind w:right="60"/>
              <w:jc w:val="right"/>
              <w:cnfStyle w:val="000000000000" w:firstRow="0" w:lastRow="0" w:firstColumn="0" w:lastColumn="0" w:oddVBand="0" w:evenVBand="0" w:oddHBand="0" w:evenHBand="0" w:firstRowFirstColumn="0" w:firstRowLastColumn="0" w:lastRowFirstColumn="0" w:lastRowLastColumn="0"/>
            </w:pPr>
            <w:r w:rsidRPr="00425DE7">
              <w:rPr>
                <w:i/>
              </w:rPr>
              <w:t>24</w:t>
            </w:r>
            <w:r w:rsidR="00FF4AE3">
              <w:rPr>
                <w:i/>
              </w:rPr>
              <w:t>.883</w:t>
            </w:r>
            <w:r w:rsidR="00CC6B72" w:rsidRPr="00425DE7">
              <w:rPr>
                <w:i/>
              </w:rPr>
              <w:t xml:space="preserve"> </w:t>
            </w:r>
          </w:p>
        </w:tc>
      </w:tr>
      <w:tr w:rsidR="00CC6B72" w14:paraId="0F3FF485" w14:textId="77777777" w:rsidTr="00DA3A40">
        <w:trPr>
          <w:cnfStyle w:val="000000100000" w:firstRow="0" w:lastRow="0" w:firstColumn="0" w:lastColumn="0" w:oddVBand="0" w:evenVBand="0" w:oddHBand="1"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3749" w:type="pct"/>
          </w:tcPr>
          <w:p w14:paraId="57F8D986" w14:textId="77777777" w:rsidR="00CC6B72" w:rsidRDefault="00CC6B72" w:rsidP="00CF641A">
            <w:pPr>
              <w:spacing w:line="259" w:lineRule="auto"/>
              <w:jc w:val="left"/>
            </w:pPr>
            <w:r>
              <w:rPr>
                <w:i/>
              </w:rPr>
              <w:t xml:space="preserve">Voucher certificat de performanță energetică (final) </w:t>
            </w:r>
          </w:p>
        </w:tc>
        <w:tc>
          <w:tcPr>
            <w:tcW w:w="1251" w:type="pct"/>
          </w:tcPr>
          <w:p w14:paraId="00BDBE94" w14:textId="4235FF22" w:rsidR="00CC6B72" w:rsidRPr="00425DE7" w:rsidRDefault="00425DE7" w:rsidP="00CF641A">
            <w:pPr>
              <w:spacing w:line="259" w:lineRule="auto"/>
              <w:ind w:right="59"/>
              <w:jc w:val="right"/>
              <w:cnfStyle w:val="000000100000" w:firstRow="0" w:lastRow="0" w:firstColumn="0" w:lastColumn="0" w:oddVBand="0" w:evenVBand="0" w:oddHBand="1" w:evenHBand="0" w:firstRowFirstColumn="0" w:firstRowLastColumn="0" w:lastRowFirstColumn="0" w:lastRowLastColumn="0"/>
            </w:pPr>
            <w:r w:rsidRPr="00425DE7">
              <w:rPr>
                <w:i/>
              </w:rPr>
              <w:t>498</w:t>
            </w:r>
            <w:r w:rsidR="00CC6B72" w:rsidRPr="00425DE7">
              <w:rPr>
                <w:i/>
              </w:rPr>
              <w:t xml:space="preserve"> </w:t>
            </w:r>
          </w:p>
        </w:tc>
      </w:tr>
      <w:tr w:rsidR="00CC6B72" w14:paraId="7C38BD29" w14:textId="77777777" w:rsidTr="00DA3A40">
        <w:trPr>
          <w:trHeight w:val="595"/>
        </w:trPr>
        <w:tc>
          <w:tcPr>
            <w:cnfStyle w:val="001000000000" w:firstRow="0" w:lastRow="0" w:firstColumn="1" w:lastColumn="0" w:oddVBand="0" w:evenVBand="0" w:oddHBand="0" w:evenHBand="0" w:firstRowFirstColumn="0" w:firstRowLastColumn="0" w:lastRowFirstColumn="0" w:lastRowLastColumn="0"/>
            <w:tcW w:w="3749" w:type="pct"/>
          </w:tcPr>
          <w:p w14:paraId="23945352" w14:textId="3CA78FD0" w:rsidR="00CC6B72" w:rsidRDefault="00CC6B72" w:rsidP="00CF641A">
            <w:pPr>
              <w:spacing w:line="259" w:lineRule="auto"/>
              <w:jc w:val="left"/>
            </w:pPr>
            <w:r>
              <w:t>Total cumul vouchere pentru o singură clădire reziden</w:t>
            </w:r>
            <w:r w:rsidR="004036F1">
              <w:t>ț</w:t>
            </w:r>
            <w:r>
              <w:t>ial</w:t>
            </w:r>
            <w:r w:rsidR="004036F1">
              <w:t>ă</w:t>
            </w:r>
            <w:r>
              <w:t xml:space="preserve"> unifamilial</w:t>
            </w:r>
            <w:r w:rsidR="004036F1">
              <w:t>ă</w:t>
            </w:r>
            <w:r>
              <w:t xml:space="preserve"> </w:t>
            </w:r>
          </w:p>
        </w:tc>
        <w:tc>
          <w:tcPr>
            <w:tcW w:w="1251" w:type="pct"/>
          </w:tcPr>
          <w:p w14:paraId="0C4D2714" w14:textId="499B1CBF" w:rsidR="00CC6B72" w:rsidRPr="00425DE7" w:rsidRDefault="00425DE7" w:rsidP="00CF641A">
            <w:pPr>
              <w:spacing w:line="259" w:lineRule="auto"/>
              <w:ind w:right="62"/>
              <w:jc w:val="right"/>
              <w:cnfStyle w:val="000000000000" w:firstRow="0" w:lastRow="0" w:firstColumn="0" w:lastColumn="0" w:oddVBand="0" w:evenVBand="0" w:oddHBand="0" w:evenHBand="0" w:firstRowFirstColumn="0" w:firstRowLastColumn="0" w:lastRowFirstColumn="0" w:lastRowLastColumn="0"/>
            </w:pPr>
            <w:r w:rsidRPr="00425DE7">
              <w:rPr>
                <w:b/>
              </w:rPr>
              <w:t>95</w:t>
            </w:r>
            <w:r w:rsidR="00FF4AE3">
              <w:rPr>
                <w:b/>
              </w:rPr>
              <w:t>.</w:t>
            </w:r>
            <w:r w:rsidRPr="00425DE7">
              <w:rPr>
                <w:b/>
              </w:rPr>
              <w:t>0</w:t>
            </w:r>
            <w:r w:rsidR="00FF4AE3">
              <w:rPr>
                <w:b/>
              </w:rPr>
              <w:t>53</w:t>
            </w:r>
            <w:r w:rsidR="00CC6B72" w:rsidRPr="00425DE7">
              <w:rPr>
                <w:b/>
              </w:rPr>
              <w:t xml:space="preserve"> </w:t>
            </w:r>
          </w:p>
        </w:tc>
      </w:tr>
    </w:tbl>
    <w:p w14:paraId="29A4D957" w14:textId="77777777" w:rsidR="00986685" w:rsidRDefault="00986685" w:rsidP="00986685">
      <w:r w:rsidRPr="00B14A94">
        <w:t>*</w:t>
      </w:r>
      <w:r w:rsidRPr="00B14A94">
        <w:rPr>
          <w:i/>
          <w:iCs/>
        </w:rPr>
        <w:t>contravaloarea în lei se va determina la cursul la care s-a încheiat contractul de finanțare.</w:t>
      </w:r>
    </w:p>
    <w:p w14:paraId="248C1E46" w14:textId="77777777" w:rsidR="00F16EBF" w:rsidRPr="00DB2488" w:rsidRDefault="00F16EBF" w:rsidP="00F16EBF">
      <w:r>
        <w:t>Sumele care depășesc valoarea maximă a fiecărui voucher nu sunt eligibile și se suportă de beneficiar.</w:t>
      </w:r>
    </w:p>
    <w:p w14:paraId="2EEEEF0D" w14:textId="4ACC336C" w:rsidR="00E8224D" w:rsidRPr="00DB2488" w:rsidRDefault="00F16EBF" w:rsidP="00E40F57">
      <w:r>
        <w:t>Sumele reprezentând TVA nedeductibilă aferentă voucherelor se vor solicita în cadrul aceleiași cereri de transfer și se vor evidenția distinct. Sumele cu TVA care pot fi solicitate sunt în limita cotei TVA aplicabile tipului de activitate prestată, conform legislației în vigoare, precum și în limita valorii rezultate în urma aplicării cotei la valoarea voucherului.</w:t>
      </w:r>
    </w:p>
    <w:bookmarkEnd w:id="2"/>
    <w:p w14:paraId="7628A08C" w14:textId="4B04F140" w:rsidR="00DB2488" w:rsidRPr="00DB2488" w:rsidRDefault="00DB2488" w:rsidP="00DB2488">
      <w:r w:rsidRPr="009208C8">
        <w:rPr>
          <w:b/>
          <w:bCs/>
        </w:rPr>
        <w:t>Cererile de transfer</w:t>
      </w:r>
      <w:r w:rsidR="00676A80" w:rsidRPr="009208C8">
        <w:rPr>
          <w:b/>
          <w:bCs/>
        </w:rPr>
        <w:t xml:space="preserve"> 2-n (finală)</w:t>
      </w:r>
      <w:r w:rsidR="00676A80">
        <w:t xml:space="preserve"> </w:t>
      </w:r>
      <w:r w:rsidRPr="00DB2488">
        <w:t>vor fi însoțite de</w:t>
      </w:r>
      <w:r w:rsidR="00676A80">
        <w:t>:</w:t>
      </w:r>
    </w:p>
    <w:p w14:paraId="075F8E42" w14:textId="32AABAC0" w:rsidR="009208C8" w:rsidRDefault="009208C8" w:rsidP="009208C8">
      <w:pPr>
        <w:pStyle w:val="ListParagraph"/>
      </w:pPr>
      <w:r w:rsidRPr="00DB2488">
        <w:t xml:space="preserve">Grafic estimativ al termenelor de depunere a cererilor de transfer, dacă </w:t>
      </w:r>
      <w:r>
        <w:t>există modificări față de ultimul grafic depus</w:t>
      </w:r>
      <w:r w:rsidRPr="00DB2488">
        <w:t xml:space="preserve">, </w:t>
      </w:r>
    </w:p>
    <w:p w14:paraId="6AB35F6C" w14:textId="77777777" w:rsidR="006F612C" w:rsidRPr="00DB2488" w:rsidRDefault="006F612C" w:rsidP="006F612C">
      <w:pPr>
        <w:pStyle w:val="ListParagraph"/>
      </w:pPr>
      <w:r w:rsidRPr="00DB2488">
        <w:t>Cerere de transfer, formular tipizat,</w:t>
      </w:r>
      <w:r>
        <w:t xml:space="preserve"> cuprinzând o </w:t>
      </w:r>
      <w:r w:rsidRPr="00DB2488">
        <w:t>detaliere a activităților realizate și pentru care se solicită transferul sumelor</w:t>
      </w:r>
      <w:r>
        <w:t>, precum și un centralizator al sumelor solicitate reprezentând contravaloarea voucherelor și, unde este cazul TVA-</w:t>
      </w:r>
      <w:proofErr w:type="spellStart"/>
      <w:r>
        <w:t>ul</w:t>
      </w:r>
      <w:proofErr w:type="spellEnd"/>
      <w:r>
        <w:t xml:space="preserve"> aferent</w:t>
      </w:r>
      <w:r w:rsidRPr="00DB2488">
        <w:t xml:space="preserve">, </w:t>
      </w:r>
    </w:p>
    <w:p w14:paraId="4B47E0E7" w14:textId="77777777" w:rsidR="00DB2488" w:rsidRPr="00DB2488" w:rsidRDefault="00DB2488" w:rsidP="008B21AF">
      <w:pPr>
        <w:pStyle w:val="ListParagraph"/>
      </w:pPr>
      <w:r w:rsidRPr="00DB2488">
        <w:t xml:space="preserve">Raportul de progres și documentele justificative corespunzătoare progresului înregistrat, </w:t>
      </w:r>
    </w:p>
    <w:p w14:paraId="1F8BE34C" w14:textId="77777777" w:rsidR="00DB2488" w:rsidRPr="00DB2488" w:rsidRDefault="00DB2488" w:rsidP="008B21AF">
      <w:pPr>
        <w:pStyle w:val="ListParagraph"/>
      </w:pPr>
      <w:r w:rsidRPr="00DB2488">
        <w:t xml:space="preserve">Pentru fiecare clădire pentru care au fost finalizate toate activitățile obligatorii și pentru care se solicită plata voucherelor se vor prezenta documente justificative: </w:t>
      </w:r>
    </w:p>
    <w:p w14:paraId="549BAB3B" w14:textId="77777777" w:rsidR="00DB2488" w:rsidRPr="00DB2488" w:rsidRDefault="00DB2488" w:rsidP="00BC4FB5">
      <w:pPr>
        <w:pStyle w:val="ListParagraph"/>
        <w:numPr>
          <w:ilvl w:val="1"/>
          <w:numId w:val="5"/>
        </w:numPr>
      </w:pPr>
      <w:r w:rsidRPr="00DB2488">
        <w:t xml:space="preserve">Procese-verbale de recepţie la terminarea lucrărilor din care să rezulte executarea lucrărilor de reabilitare și instalarea sistemelor fotovoltaice, însuşite de beneficiarii finali ai lucrărilor respective și operatorii economici care au executat lucrarea (beneficiar și/sau partener, după caz), </w:t>
      </w:r>
    </w:p>
    <w:p w14:paraId="7304E15A" w14:textId="77777777" w:rsidR="00DB2488" w:rsidRPr="00DB2488" w:rsidRDefault="00DB2488" w:rsidP="00BC4FB5">
      <w:pPr>
        <w:pStyle w:val="ListParagraph"/>
        <w:numPr>
          <w:ilvl w:val="1"/>
          <w:numId w:val="5"/>
        </w:numPr>
      </w:pPr>
      <w:r w:rsidRPr="00DB2488">
        <w:t xml:space="preserve">Certificatul de performanţă energetică final (din care să reiasă în mod clar realizarea indicatorilor de eficiență energetică aferenți proiectului, stabiliți în Cererea de finanțare, obținuți prin implementarea proiectului, precum și conformarea cu cerințele de eligibilitate cu privire la reducerea consumului de energie), </w:t>
      </w:r>
    </w:p>
    <w:p w14:paraId="1D46419E" w14:textId="45D994E3" w:rsidR="00DB2488" w:rsidRDefault="00DE54A3" w:rsidP="00BC4FB5">
      <w:pPr>
        <w:pStyle w:val="ListParagraph"/>
        <w:numPr>
          <w:ilvl w:val="1"/>
          <w:numId w:val="5"/>
        </w:numPr>
      </w:pPr>
      <w:r>
        <w:t>Certificat de Racordare (CR), după caz</w:t>
      </w:r>
      <w:r w:rsidR="00DB2488" w:rsidRPr="00DB2488">
        <w:t xml:space="preserve">. La ultima cerere de transfer (doar pentru clădirile cuprinse în ultima cerere de transfer), în situația în care </w:t>
      </w:r>
      <w:r w:rsidR="00594A76">
        <w:t>CR</w:t>
      </w:r>
      <w:r w:rsidR="00DB2488" w:rsidRPr="00DB2488">
        <w:t xml:space="preserve"> nu au fost obținute și se află în curs de obținere, beneficiarul poate depune cererea de transfer însoțită de dovada demarării procesului de obținere a </w:t>
      </w:r>
      <w:r>
        <w:t>CR-ului</w:t>
      </w:r>
      <w:r w:rsidR="00DB2488" w:rsidRPr="00DB2488">
        <w:t xml:space="preserve"> (dovada înregistrării la/transmiterii prin platforme online către instituțiile abilitate, a documentelor necesare obținerii </w:t>
      </w:r>
      <w:r>
        <w:t>CR</w:t>
      </w:r>
      <w:r w:rsidR="00DB2488" w:rsidRPr="00DB2488">
        <w:t xml:space="preserve">). </w:t>
      </w:r>
      <w:r>
        <w:t>CR-ul</w:t>
      </w:r>
      <w:r w:rsidR="00DB2488" w:rsidRPr="00DB2488">
        <w:t xml:space="preserve"> se va depune în acest caz, cel târziu până la 31 decembrie 2026. </w:t>
      </w:r>
    </w:p>
    <w:p w14:paraId="2B50110F" w14:textId="77777777" w:rsidR="00DB2488" w:rsidRPr="00DB2488" w:rsidRDefault="00DB2488" w:rsidP="00BC4FB5">
      <w:pPr>
        <w:pStyle w:val="ListParagraph"/>
        <w:numPr>
          <w:ilvl w:val="1"/>
          <w:numId w:val="5"/>
        </w:numPr>
      </w:pPr>
      <w:r w:rsidRPr="00DB2488">
        <w:t xml:space="preserve">Fotografii relevante (faza de pre-renovare și pentru după realizarea lucrarilor) care să demonstreze realizarea investițiilor, precum și realizarea activităților de informare și publicitate conform Manualului de Identitate Vizuală pentru PNRR, </w:t>
      </w:r>
    </w:p>
    <w:p w14:paraId="39AB2AF1" w14:textId="3F4B30E9" w:rsidR="00DB2488" w:rsidRPr="00DB2488" w:rsidRDefault="00DB2488" w:rsidP="008B21AF">
      <w:pPr>
        <w:pStyle w:val="ListParagraph"/>
      </w:pPr>
      <w:r w:rsidRPr="00DB2488">
        <w:t>Alte documente justificative</w:t>
      </w:r>
      <w:r w:rsidR="00256A27">
        <w:t>, după caz</w:t>
      </w:r>
      <w:r w:rsidRPr="00DB2488">
        <w:t xml:space="preserve">. </w:t>
      </w:r>
    </w:p>
    <w:p w14:paraId="0FB7E4C2" w14:textId="053F03DA" w:rsidR="00DB2488" w:rsidRDefault="00CE17C7" w:rsidP="00DB2488">
      <w:r>
        <w:t>Notificarea</w:t>
      </w:r>
      <w:r w:rsidRPr="00CE17C7">
        <w:rPr>
          <w:szCs w:val="20"/>
        </w:rPr>
        <w:t xml:space="preserve"> </w:t>
      </w:r>
      <w:r w:rsidRPr="00CD40ED">
        <w:rPr>
          <w:szCs w:val="20"/>
        </w:rPr>
        <w:t xml:space="preserve">beneficiarul cu privire la plata </w:t>
      </w:r>
      <w:r>
        <w:rPr>
          <w:szCs w:val="20"/>
        </w:rPr>
        <w:t>sumelor</w:t>
      </w:r>
      <w:r w:rsidRPr="00CD40ED">
        <w:rPr>
          <w:szCs w:val="20"/>
        </w:rPr>
        <w:t xml:space="preserve"> autorizate din cererea de transfer</w:t>
      </w:r>
      <w:r>
        <w:t xml:space="preserve"> prevăzută la art. 5 din Contractul de finanțare, va cuprinde informații despre sumele autorizate și sumele respinse (dacă este cazul) în urma verificărilor </w:t>
      </w:r>
      <w:r w:rsidR="00F83F36">
        <w:t>precum</w:t>
      </w:r>
      <w:r>
        <w:t xml:space="preserve"> și motivul respingerii.</w:t>
      </w:r>
    </w:p>
    <w:p w14:paraId="088C8398" w14:textId="77777777" w:rsidR="00CE17C7" w:rsidRPr="00DB2488" w:rsidRDefault="00CE17C7" w:rsidP="00DB2488"/>
    <w:sectPr w:rsidR="00CE17C7" w:rsidRPr="00DB248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C4DAA2" w14:textId="77777777" w:rsidR="001F1986" w:rsidRDefault="001F1986" w:rsidP="003608F2">
      <w:pPr>
        <w:spacing w:after="0" w:line="240" w:lineRule="auto"/>
      </w:pPr>
      <w:r>
        <w:separator/>
      </w:r>
    </w:p>
  </w:endnote>
  <w:endnote w:type="continuationSeparator" w:id="0">
    <w:p w14:paraId="5E217F41" w14:textId="77777777" w:rsidR="001F1986" w:rsidRDefault="001F1986" w:rsidP="00360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DF1AAF" w14:textId="77777777" w:rsidR="001F1986" w:rsidRDefault="001F1986" w:rsidP="003608F2">
      <w:pPr>
        <w:spacing w:after="0" w:line="240" w:lineRule="auto"/>
      </w:pPr>
      <w:r>
        <w:separator/>
      </w:r>
    </w:p>
  </w:footnote>
  <w:footnote w:type="continuationSeparator" w:id="0">
    <w:p w14:paraId="7343AE37" w14:textId="77777777" w:rsidR="001F1986" w:rsidRDefault="001F1986" w:rsidP="003608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90909" w14:textId="299C0190" w:rsidR="003608F2" w:rsidRDefault="003608F2">
    <w:pPr>
      <w:pStyle w:val="Header"/>
    </w:pPr>
    <w:r w:rsidRPr="008D6962">
      <w:rPr>
        <w:rFonts w:ascii="Calibri" w:eastAsia="Calibri" w:hAnsi="Calibri" w:cs="Arial"/>
        <w:noProof/>
      </w:rPr>
      <w:drawing>
        <wp:inline distT="0" distB="0" distL="0" distR="0" wp14:anchorId="170C7D3A" wp14:editId="664614E2">
          <wp:extent cx="5731510" cy="506095"/>
          <wp:effectExtent l="0" t="0" r="254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461649" name="Picture 1046461649"/>
                  <pic:cNvPicPr/>
                </pic:nvPicPr>
                <pic:blipFill>
                  <a:blip r:embed="rId1">
                    <a:extLst>
                      <a:ext uri="{28A0092B-C50C-407E-A947-70E740481C1C}">
                        <a14:useLocalDpi xmlns:a14="http://schemas.microsoft.com/office/drawing/2010/main" val="0"/>
                      </a:ext>
                    </a:extLst>
                  </a:blip>
                  <a:stretch>
                    <a:fillRect/>
                  </a:stretch>
                </pic:blipFill>
                <pic:spPr>
                  <a:xfrm>
                    <a:off x="0" y="0"/>
                    <a:ext cx="5731510" cy="506095"/>
                  </a:xfrm>
                  <a:prstGeom prst="rect">
                    <a:avLst/>
                  </a:prstGeom>
                </pic:spPr>
              </pic:pic>
            </a:graphicData>
          </a:graphic>
        </wp:inline>
      </w:drawing>
    </w:r>
  </w:p>
  <w:p w14:paraId="60F4B486" w14:textId="148CC941" w:rsidR="003608F2" w:rsidRDefault="003608F2">
    <w:pPr>
      <w:pStyle w:val="Header"/>
    </w:pPr>
  </w:p>
  <w:p w14:paraId="56F966D9" w14:textId="77777777" w:rsidR="003608F2" w:rsidRPr="0063304F" w:rsidRDefault="003608F2" w:rsidP="003608F2">
    <w:pPr>
      <w:pStyle w:val="Header"/>
      <w:jc w:val="right"/>
      <w:rPr>
        <w:sz w:val="18"/>
      </w:rPr>
    </w:pPr>
    <w:r w:rsidRPr="0063304F">
      <w:rPr>
        <w:sz w:val="18"/>
      </w:rPr>
      <w:t xml:space="preserve">Componenta C16. </w:t>
    </w:r>
    <w:proofErr w:type="spellStart"/>
    <w:r w:rsidRPr="0063304F">
      <w:rPr>
        <w:sz w:val="18"/>
      </w:rPr>
      <w:t>RePowerEU</w:t>
    </w:r>
    <w:proofErr w:type="spellEnd"/>
    <w:r w:rsidRPr="0063304F">
      <w:rPr>
        <w:sz w:val="18"/>
      </w:rPr>
      <w:t>, I7, Axa I</w:t>
    </w:r>
  </w:p>
  <w:p w14:paraId="78117E1A" w14:textId="79437FF8" w:rsidR="003608F2" w:rsidRDefault="003608F2" w:rsidP="003608F2">
    <w:pPr>
      <w:pStyle w:val="Header"/>
      <w:jc w:val="right"/>
      <w:rPr>
        <w:sz w:val="18"/>
      </w:rPr>
    </w:pPr>
    <w:r>
      <w:rPr>
        <w:sz w:val="18"/>
      </w:rPr>
      <w:t xml:space="preserve">Apel: </w:t>
    </w:r>
    <w:r w:rsidRPr="0063304F">
      <w:rPr>
        <w:sz w:val="18"/>
      </w:rPr>
      <w:t>PNRR/2024/C16RePowerEU/I7/AXA1/1</w:t>
    </w:r>
  </w:p>
  <w:p w14:paraId="2D913D6A" w14:textId="77777777" w:rsidR="003608F2" w:rsidRPr="003608F2" w:rsidRDefault="003608F2" w:rsidP="003608F2">
    <w:pPr>
      <w:pStyle w:val="Header"/>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4B2794"/>
    <w:multiLevelType w:val="hybridMultilevel"/>
    <w:tmpl w:val="203E571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25E27F5F"/>
    <w:multiLevelType w:val="hybridMultilevel"/>
    <w:tmpl w:val="8B42C952"/>
    <w:lvl w:ilvl="0" w:tplc="96188AEE">
      <w:start w:val="1"/>
      <w:numFmt w:val="decimal"/>
      <w:lvlText w:val="(%1)"/>
      <w:lvlJc w:val="left"/>
      <w:pPr>
        <w:ind w:left="4046" w:hanging="360"/>
      </w:pPr>
      <w:rPr>
        <w:rFonts w:hint="default"/>
        <w:color w:val="auto"/>
      </w:rPr>
    </w:lvl>
    <w:lvl w:ilvl="1" w:tplc="04090019" w:tentative="1">
      <w:start w:val="1"/>
      <w:numFmt w:val="lowerLetter"/>
      <w:lvlText w:val="%2."/>
      <w:lvlJc w:val="left"/>
      <w:pPr>
        <w:ind w:left="1402" w:hanging="360"/>
      </w:pPr>
    </w:lvl>
    <w:lvl w:ilvl="2" w:tplc="0409001B" w:tentative="1">
      <w:start w:val="1"/>
      <w:numFmt w:val="lowerRoman"/>
      <w:lvlText w:val="%3."/>
      <w:lvlJc w:val="right"/>
      <w:pPr>
        <w:ind w:left="2122" w:hanging="180"/>
      </w:pPr>
    </w:lvl>
    <w:lvl w:ilvl="3" w:tplc="0409000F" w:tentative="1">
      <w:start w:val="1"/>
      <w:numFmt w:val="decimal"/>
      <w:lvlText w:val="%4."/>
      <w:lvlJc w:val="left"/>
      <w:pPr>
        <w:ind w:left="2842" w:hanging="360"/>
      </w:pPr>
    </w:lvl>
    <w:lvl w:ilvl="4" w:tplc="04090019" w:tentative="1">
      <w:start w:val="1"/>
      <w:numFmt w:val="lowerLetter"/>
      <w:lvlText w:val="%5."/>
      <w:lvlJc w:val="left"/>
      <w:pPr>
        <w:ind w:left="3562" w:hanging="360"/>
      </w:pPr>
    </w:lvl>
    <w:lvl w:ilvl="5" w:tplc="0409001B" w:tentative="1">
      <w:start w:val="1"/>
      <w:numFmt w:val="lowerRoman"/>
      <w:lvlText w:val="%6."/>
      <w:lvlJc w:val="right"/>
      <w:pPr>
        <w:ind w:left="4282" w:hanging="180"/>
      </w:pPr>
    </w:lvl>
    <w:lvl w:ilvl="6" w:tplc="0409000F" w:tentative="1">
      <w:start w:val="1"/>
      <w:numFmt w:val="decimal"/>
      <w:lvlText w:val="%7."/>
      <w:lvlJc w:val="left"/>
      <w:pPr>
        <w:ind w:left="5002" w:hanging="360"/>
      </w:pPr>
    </w:lvl>
    <w:lvl w:ilvl="7" w:tplc="04090019" w:tentative="1">
      <w:start w:val="1"/>
      <w:numFmt w:val="lowerLetter"/>
      <w:lvlText w:val="%8."/>
      <w:lvlJc w:val="left"/>
      <w:pPr>
        <w:ind w:left="5722" w:hanging="360"/>
      </w:pPr>
    </w:lvl>
    <w:lvl w:ilvl="8" w:tplc="0409001B" w:tentative="1">
      <w:start w:val="1"/>
      <w:numFmt w:val="lowerRoman"/>
      <w:lvlText w:val="%9."/>
      <w:lvlJc w:val="right"/>
      <w:pPr>
        <w:ind w:left="6442" w:hanging="180"/>
      </w:pPr>
    </w:lvl>
  </w:abstractNum>
  <w:abstractNum w:abstractNumId="2" w15:restartNumberingAfterBreak="0">
    <w:nsid w:val="30A3135C"/>
    <w:multiLevelType w:val="hybridMultilevel"/>
    <w:tmpl w:val="E8441A96"/>
    <w:lvl w:ilvl="0" w:tplc="4D04FE6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E3ED91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85ED7E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522DF4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C5E53E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0D69E0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F30102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01215E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116E20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40E68FA"/>
    <w:multiLevelType w:val="hybridMultilevel"/>
    <w:tmpl w:val="847AC79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55AD2333"/>
    <w:multiLevelType w:val="hybridMultilevel"/>
    <w:tmpl w:val="145216A8"/>
    <w:lvl w:ilvl="0" w:tplc="6F72D5DC">
      <w:start w:val="1"/>
      <w:numFmt w:val="bullet"/>
      <w:pStyle w:val="ListParagraph"/>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583A65A1"/>
    <w:multiLevelType w:val="hybridMultilevel"/>
    <w:tmpl w:val="5684686A"/>
    <w:lvl w:ilvl="0" w:tplc="7F02CE72">
      <w:start w:val="2"/>
      <w:numFmt w:val="decimal"/>
      <w:lvlText w:val="%1."/>
      <w:lvlJc w:val="left"/>
      <w:pPr>
        <w:ind w:left="720" w:hanging="360"/>
      </w:pPr>
      <w:rPr>
        <w:rFonts w:hint="default"/>
        <w:color w:val="auto"/>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624F3928"/>
    <w:multiLevelType w:val="hybridMultilevel"/>
    <w:tmpl w:val="42C4B4A0"/>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655D7529"/>
    <w:multiLevelType w:val="hybridMultilevel"/>
    <w:tmpl w:val="E0C0CEBC"/>
    <w:lvl w:ilvl="0" w:tplc="B4968C22">
      <w:start w:val="1"/>
      <w:numFmt w:val="bullet"/>
      <w:lvlText w:val="▪"/>
      <w:lvlJc w:val="left"/>
      <w:pPr>
        <w:ind w:left="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9DB0FA6A">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7A8EF6B0">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7BFAC642">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7D48B272">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2BF6D9E4">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8D5A4D84">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4F7A4E22">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066A76A8">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6AEA5073"/>
    <w:multiLevelType w:val="hybridMultilevel"/>
    <w:tmpl w:val="DCECF91A"/>
    <w:lvl w:ilvl="0" w:tplc="0418000F">
      <w:start w:val="1"/>
      <w:numFmt w:val="decimal"/>
      <w:lvlText w:val="%1."/>
      <w:lvlJc w:val="left"/>
      <w:pPr>
        <w:ind w:left="720" w:hanging="360"/>
      </w:pPr>
      <w:rPr>
        <w:rFonts w:hint="default"/>
        <w:color w:val="auto"/>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2"/>
  </w:num>
  <w:num w:numId="4">
    <w:abstractNumId w:val="3"/>
  </w:num>
  <w:num w:numId="5">
    <w:abstractNumId w:val="4"/>
  </w:num>
  <w:num w:numId="6">
    <w:abstractNumId w:val="1"/>
  </w:num>
  <w:num w:numId="7">
    <w:abstractNumId w:val="6"/>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F0D"/>
    <w:rsid w:val="00074B70"/>
    <w:rsid w:val="00087D9B"/>
    <w:rsid w:val="00164EAF"/>
    <w:rsid w:val="001769F5"/>
    <w:rsid w:val="001F1986"/>
    <w:rsid w:val="002224A0"/>
    <w:rsid w:val="00223983"/>
    <w:rsid w:val="00256A27"/>
    <w:rsid w:val="002A247E"/>
    <w:rsid w:val="002A33A7"/>
    <w:rsid w:val="003608F2"/>
    <w:rsid w:val="00390139"/>
    <w:rsid w:val="003B5A4D"/>
    <w:rsid w:val="003C5C1B"/>
    <w:rsid w:val="003D4183"/>
    <w:rsid w:val="004036F1"/>
    <w:rsid w:val="00425DE7"/>
    <w:rsid w:val="00483ED0"/>
    <w:rsid w:val="00537A1A"/>
    <w:rsid w:val="00594A76"/>
    <w:rsid w:val="005E0CD2"/>
    <w:rsid w:val="00615E78"/>
    <w:rsid w:val="0062507E"/>
    <w:rsid w:val="00633802"/>
    <w:rsid w:val="00660101"/>
    <w:rsid w:val="00676A80"/>
    <w:rsid w:val="00687A48"/>
    <w:rsid w:val="006A0533"/>
    <w:rsid w:val="006A2451"/>
    <w:rsid w:val="006E6E03"/>
    <w:rsid w:val="006F3D8F"/>
    <w:rsid w:val="006F612C"/>
    <w:rsid w:val="00711C7B"/>
    <w:rsid w:val="00730803"/>
    <w:rsid w:val="007544C7"/>
    <w:rsid w:val="007647B4"/>
    <w:rsid w:val="007A762F"/>
    <w:rsid w:val="007E5FF5"/>
    <w:rsid w:val="00822CDE"/>
    <w:rsid w:val="00856D4B"/>
    <w:rsid w:val="008A1574"/>
    <w:rsid w:val="008B21AF"/>
    <w:rsid w:val="008F7649"/>
    <w:rsid w:val="009208C8"/>
    <w:rsid w:val="009263E7"/>
    <w:rsid w:val="00934A86"/>
    <w:rsid w:val="009702E9"/>
    <w:rsid w:val="00986685"/>
    <w:rsid w:val="00A76D2D"/>
    <w:rsid w:val="00AA498B"/>
    <w:rsid w:val="00AB48E7"/>
    <w:rsid w:val="00AB52F8"/>
    <w:rsid w:val="00AC2BE7"/>
    <w:rsid w:val="00B05874"/>
    <w:rsid w:val="00B14A94"/>
    <w:rsid w:val="00B64B55"/>
    <w:rsid w:val="00B854FD"/>
    <w:rsid w:val="00BC4FB5"/>
    <w:rsid w:val="00C92C32"/>
    <w:rsid w:val="00CC6B72"/>
    <w:rsid w:val="00CE17C7"/>
    <w:rsid w:val="00D33D44"/>
    <w:rsid w:val="00DA3A40"/>
    <w:rsid w:val="00DB2488"/>
    <w:rsid w:val="00DC484B"/>
    <w:rsid w:val="00DE54A3"/>
    <w:rsid w:val="00E40F57"/>
    <w:rsid w:val="00E416A4"/>
    <w:rsid w:val="00E71F0D"/>
    <w:rsid w:val="00E8224D"/>
    <w:rsid w:val="00F16EBF"/>
    <w:rsid w:val="00F421F3"/>
    <w:rsid w:val="00F83F36"/>
    <w:rsid w:val="00FB182A"/>
    <w:rsid w:val="00FF4AE3"/>
    <w:rsid w:val="00FF799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FCF44"/>
  <w15:chartTrackingRefBased/>
  <w15:docId w15:val="{404D4DDF-CED0-4293-9DE1-973D52EFF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21AF"/>
    <w:pPr>
      <w:jc w:val="both"/>
    </w:pPr>
    <w:rPr>
      <w:rFonts w:ascii="Trebuchet MS" w:hAnsi="Trebuchet MS"/>
      <w:sz w:val="20"/>
    </w:rPr>
  </w:style>
  <w:style w:type="paragraph" w:styleId="Heading1">
    <w:name w:val="heading 1"/>
    <w:basedOn w:val="Normal"/>
    <w:next w:val="Normal"/>
    <w:link w:val="Heading1Char"/>
    <w:uiPriority w:val="9"/>
    <w:qFormat/>
    <w:rsid w:val="00DB2488"/>
    <w:pPr>
      <w:keepNext/>
      <w:keepLines/>
      <w:spacing w:before="240" w:after="0"/>
      <w:jc w:val="center"/>
      <w:outlineLvl w:val="0"/>
    </w:pPr>
    <w:rPr>
      <w:rFonts w:eastAsiaTheme="majorEastAsia" w:cstheme="majorBidi"/>
      <w:color w:val="2F5496" w:themeColor="accent1" w:themeShade="BF"/>
      <w:sz w:val="24"/>
      <w:szCs w:val="24"/>
    </w:rPr>
  </w:style>
  <w:style w:type="paragraph" w:styleId="Heading2">
    <w:name w:val="heading 2"/>
    <w:basedOn w:val="Normal"/>
    <w:next w:val="Normal"/>
    <w:link w:val="Heading2Char"/>
    <w:uiPriority w:val="9"/>
    <w:unhideWhenUsed/>
    <w:qFormat/>
    <w:rsid w:val="00DB2488"/>
    <w:pPr>
      <w:keepNext/>
      <w:keepLines/>
      <w:spacing w:before="40" w:after="0"/>
      <w:outlineLvl w:val="1"/>
    </w:pPr>
    <w:rPr>
      <w:rFonts w:eastAsiaTheme="majorEastAsia" w:cstheme="majorBidi"/>
      <w:color w:val="2F5496" w:themeColor="accent1" w:themeShade="BF"/>
    </w:rPr>
  </w:style>
  <w:style w:type="paragraph" w:styleId="Heading3">
    <w:name w:val="heading 3"/>
    <w:basedOn w:val="Normal"/>
    <w:next w:val="Normal"/>
    <w:link w:val="Heading3Char"/>
    <w:uiPriority w:val="9"/>
    <w:unhideWhenUsed/>
    <w:qFormat/>
    <w:rsid w:val="009263E7"/>
    <w:p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21AF"/>
    <w:pPr>
      <w:numPr>
        <w:numId w:val="5"/>
      </w:numPr>
      <w:contextualSpacing/>
    </w:pPr>
  </w:style>
  <w:style w:type="character" w:customStyle="1" w:styleId="Heading2Char">
    <w:name w:val="Heading 2 Char"/>
    <w:basedOn w:val="DefaultParagraphFont"/>
    <w:link w:val="Heading2"/>
    <w:uiPriority w:val="9"/>
    <w:rsid w:val="00DB2488"/>
    <w:rPr>
      <w:rFonts w:ascii="Trebuchet MS" w:eastAsiaTheme="majorEastAsia" w:hAnsi="Trebuchet MS" w:cstheme="majorBidi"/>
      <w:color w:val="2F5496" w:themeColor="accent1" w:themeShade="BF"/>
    </w:rPr>
  </w:style>
  <w:style w:type="character" w:customStyle="1" w:styleId="Heading1Char">
    <w:name w:val="Heading 1 Char"/>
    <w:basedOn w:val="DefaultParagraphFont"/>
    <w:link w:val="Heading1"/>
    <w:uiPriority w:val="9"/>
    <w:rsid w:val="00DB2488"/>
    <w:rPr>
      <w:rFonts w:ascii="Trebuchet MS" w:eastAsiaTheme="majorEastAsia" w:hAnsi="Trebuchet MS" w:cstheme="majorBidi"/>
      <w:color w:val="2F5496" w:themeColor="accent1" w:themeShade="BF"/>
      <w:sz w:val="24"/>
      <w:szCs w:val="24"/>
    </w:rPr>
  </w:style>
  <w:style w:type="paragraph" w:styleId="NormalWeb">
    <w:name w:val="Normal (Web)"/>
    <w:basedOn w:val="Normal"/>
    <w:uiPriority w:val="99"/>
    <w:unhideWhenUsed/>
    <w:rsid w:val="00B854FD"/>
    <w:pPr>
      <w:spacing w:before="100" w:beforeAutospacing="1" w:after="100" w:afterAutospacing="1" w:line="240" w:lineRule="auto"/>
      <w:jc w:val="left"/>
    </w:pPr>
    <w:rPr>
      <w:rFonts w:ascii="Times New Roman" w:eastAsia="Times New Roman" w:hAnsi="Times New Roman" w:cs="Times New Roman"/>
      <w:kern w:val="0"/>
      <w:sz w:val="24"/>
      <w:szCs w:val="24"/>
      <w:lang w:eastAsia="ro-RO"/>
      <w14:ligatures w14:val="none"/>
    </w:rPr>
  </w:style>
  <w:style w:type="character" w:customStyle="1" w:styleId="Heading3Char">
    <w:name w:val="Heading 3 Char"/>
    <w:basedOn w:val="DefaultParagraphFont"/>
    <w:link w:val="Heading3"/>
    <w:uiPriority w:val="9"/>
    <w:rsid w:val="009263E7"/>
    <w:rPr>
      <w:rFonts w:ascii="Trebuchet MS" w:hAnsi="Trebuchet MS"/>
      <w:b/>
      <w:bCs/>
      <w:sz w:val="20"/>
    </w:rPr>
  </w:style>
  <w:style w:type="table" w:customStyle="1" w:styleId="TableGrid">
    <w:name w:val="TableGrid"/>
    <w:rsid w:val="00CC6B72"/>
    <w:pPr>
      <w:spacing w:after="0" w:line="240" w:lineRule="auto"/>
    </w:pPr>
    <w:rPr>
      <w:rFonts w:eastAsiaTheme="minorEastAsia"/>
      <w:lang w:eastAsia="ro-RO"/>
    </w:rPr>
    <w:tblPr>
      <w:tblCellMar>
        <w:top w:w="0" w:type="dxa"/>
        <w:left w:w="0" w:type="dxa"/>
        <w:bottom w:w="0" w:type="dxa"/>
        <w:right w:w="0" w:type="dxa"/>
      </w:tblCellMar>
    </w:tblPr>
  </w:style>
  <w:style w:type="table" w:styleId="GridTable2-Accent1">
    <w:name w:val="Grid Table 2 Accent 1"/>
    <w:basedOn w:val="TableNormal"/>
    <w:uiPriority w:val="47"/>
    <w:rsid w:val="00986685"/>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Grid0">
    <w:name w:val="Table Grid"/>
    <w:basedOn w:val="TableNormal"/>
    <w:uiPriority w:val="39"/>
    <w:rsid w:val="00FB1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5">
    <w:name w:val="Grid Table 2 Accent 5"/>
    <w:basedOn w:val="TableNormal"/>
    <w:uiPriority w:val="47"/>
    <w:rsid w:val="00DA3A40"/>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Header">
    <w:name w:val="header"/>
    <w:basedOn w:val="Normal"/>
    <w:link w:val="HeaderChar"/>
    <w:uiPriority w:val="99"/>
    <w:unhideWhenUsed/>
    <w:qFormat/>
    <w:rsid w:val="003608F2"/>
    <w:pPr>
      <w:tabs>
        <w:tab w:val="center" w:pos="4703"/>
        <w:tab w:val="right" w:pos="9406"/>
      </w:tabs>
      <w:spacing w:after="0" w:line="240" w:lineRule="auto"/>
    </w:pPr>
  </w:style>
  <w:style w:type="character" w:customStyle="1" w:styleId="HeaderChar">
    <w:name w:val="Header Char"/>
    <w:basedOn w:val="DefaultParagraphFont"/>
    <w:link w:val="Header"/>
    <w:uiPriority w:val="99"/>
    <w:qFormat/>
    <w:rsid w:val="003608F2"/>
    <w:rPr>
      <w:rFonts w:ascii="Trebuchet MS" w:hAnsi="Trebuchet MS"/>
      <w:sz w:val="20"/>
    </w:rPr>
  </w:style>
  <w:style w:type="paragraph" w:styleId="Footer">
    <w:name w:val="footer"/>
    <w:basedOn w:val="Normal"/>
    <w:link w:val="FooterChar"/>
    <w:uiPriority w:val="99"/>
    <w:unhideWhenUsed/>
    <w:rsid w:val="003608F2"/>
    <w:pPr>
      <w:tabs>
        <w:tab w:val="center" w:pos="4703"/>
        <w:tab w:val="right" w:pos="9406"/>
      </w:tabs>
      <w:spacing w:after="0" w:line="240" w:lineRule="auto"/>
    </w:pPr>
  </w:style>
  <w:style w:type="character" w:customStyle="1" w:styleId="FooterChar">
    <w:name w:val="Footer Char"/>
    <w:basedOn w:val="DefaultParagraphFont"/>
    <w:link w:val="Footer"/>
    <w:uiPriority w:val="99"/>
    <w:rsid w:val="003608F2"/>
    <w:rPr>
      <w:rFonts w:ascii="Trebuchet MS" w:hAnsi="Trebuchet M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4</Pages>
  <Words>1696</Words>
  <Characters>9668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C</dc:creator>
  <cp:keywords/>
  <dc:description/>
  <cp:lastModifiedBy>Nicusor Marian Sanda Grigore</cp:lastModifiedBy>
  <cp:revision>46</cp:revision>
  <dcterms:created xsi:type="dcterms:W3CDTF">2024-06-19T15:05:00Z</dcterms:created>
  <dcterms:modified xsi:type="dcterms:W3CDTF">2024-09-11T08:28:00Z</dcterms:modified>
</cp:coreProperties>
</file>